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AG_VERSICHERUNGSGERICHT VBE.2022.296 vom 27. Januar 2023</w:t>
      </w:r>
    </w:p>
    <w:p>
      <w:r>
        <w:t>Ag Versicherungsgericht, 2023-01-27, DE</w:t>
      </w:r>
    </w:p>
    <w:p>
      <w:r>
        <w:rPr>
          <w:b/>
        </w:rPr>
        <w:t xml:space="preserve">Quelle: </w:t>
      </w:r>
      <w:r>
        <w:t>https://mcp.opencaselaw.ch/entscheid/ag_versicherungsgericht_VBE.2022.296</w:t>
      </w:r>
    </w:p>
    <w:p>
      <w:r>
        <w:t>FR: AG_VERSICHERUNGSGERICHT VBE.2022.296 du 27 janvier 2023</w:t>
      </w:r>
    </w:p>
    <w:p>
      <w:r>
        <w:t>IT: AG_VERSICHERUNGSGERICHT VBE.2022.296 del 27 gennaio 2023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Subeventualiter sei die Sache zur medizinischen Neubegutachtung an die Beschwerdegegnerin zurückzuweisen. Alles unter Kosten- und Entschädigungsfolgen zuzüglich MwSt. zu Las- ten der Beschwerdegegnerin." 2.2. Mit Vernehmlassung vom 20. September 2022 beantragte die Beschwer- degegnerin die Abweisung der Beschwerde. 2.3. Mit instruktionsrichterlicher Verfügung vom 21. September 2022 wurde die berufliche Vorsorgeeinrichtung des Beschwerdeführers beigeladen und ihr</w:t>
      </w:r>
    </w:p>
    <w:p>
      <w:r>
        <w:t>- 3 - Gelegenheit zur Stellungnahme eingeräumt. Die Beigeladene verzichtete mit Eingabe vom 3. Oktober 2022 auf eine Stellungnahme. Das Versicherungsgericht zieht in Erwägung: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