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VBE.2022.287 vom 19. Juni 2023</w:t>
      </w:r>
    </w:p>
    <w:p>
      <w:r>
        <w:t>Ag Versicherungsgericht, 2023-06-19, DE</w:t>
      </w:r>
    </w:p>
    <w:p>
      <w:r>
        <w:rPr>
          <w:b/>
        </w:rPr>
        <w:t xml:space="preserve">Quelle: </w:t>
      </w:r>
      <w:r>
        <w:t>https://mcp.opencaselaw.ch/entscheid/ag_versicherungsgericht_VBE.2022.287</w:t>
      </w:r>
    </w:p>
    <w:p>
      <w:r>
        <w:t>FR: AG_VERSICHERUNGSGERICHT VBE.2022.287 du 19 juin 2023</w:t>
      </w:r>
    </w:p>
    <w:p>
      <w:r>
        <w:t>IT: AG_VERSICHERUNGSGERICHT VBE.2022.287 del 19 giugno 2023</w:t>
      </w:r>
    </w:p>
    <w:p>
      <w:pPr>
        <w:pStyle w:val="Heading2"/>
      </w:pPr>
      <w:r>
        <w:t>Erwägungen</w:t>
      </w:r>
    </w:p>
    <w:p>
      <w:r>
        <w:rPr>
          <w:b/>
        </w:rPr>
        <w:t>E. 3</w:t>
      </w:r>
    </w:p>
    <w:p>
      <w:r>
        <w:t>Die SVA sei anzuweisen, die Ergänzungsleistungen der Beschwerde- führer ab Januar 2020 ohne Annahme eines Einkommensverzichts neu zu berechnen.</w:t>
      </w:r>
    </w:p>
    <w:p>
      <w:r>
        <w:rPr>
          <w:b/>
        </w:rPr>
        <w:t>E. 3.1</w:t>
      </w:r>
    </w:p>
    <w:p>
      <w:r>
        <w:t>Hinsichtlich des Wohnrechts der Beschwerdeführenden ergibt sich aus den Akten Folgendes: Mit öffentlich beurkundetem Kaufvertrag vom 25. März 2020 verkauften die Beschwerdeführenden ihre beiden Mitteigentumsan- teile an der Liegenschaft "C." an ihre Tochter, welche dadurch Alleineigentümerin der Liegenschaft wurde (VB 131-142). In Bestim- mung II. des Kaufvertrages ("Kaufsobjekt") wurde festgehalten, dass seit 21. Juli 2005 eine Dienstbarkeit in Form eines Wohnrechts zu Gunsten der Beschwerdeführenden bestehe (VB 132). Unter der Bestimmung "IV. Wei- tere Vertragsbestimmungen" Ziff. 2 wurde sodann vereinbart: "Die Verkäu- fer eines Miteigentumsanteils von je 1/3 B. und A. verzichten mit Unterzeichnung dieses Kaufvertrages ausdrücklich auf das zu ihren Gunsten auf Liegenschaft "C." eingetragene Wohnrecht zugunsten B. und zugunsten A.. Sie ermächtigen das Grundbuchamt, die Last im Grundbuch zu löschen" (VB 135).</w:t>
      </w:r>
    </w:p>
    <w:p>
      <w:r>
        <w:rPr>
          <w:b/>
        </w:rPr>
        <w:t>E. 3.2</w:t>
      </w:r>
    </w:p>
    <w:p>
      <w:r>
        <w:t>Die Beschwerdegegnerin ging vorliegend davon aus, die Beschwerdefüh- renden hätten für die "Hingabe" ihrer Miteigentumsanteile eine Entschädi- gung erhalten, jedoch nicht für den Verzicht auf das Wohnrecht (VB 253 f. E. 6). In ihrer Vernehmlassung vom 13. September 2022 bringt sie vor, aus dem Kaufvertrag vom 25. März 2020 gehe unmissverständlich hervor, dass für die Löschung des "Wohnrechtanteils von 1/3" keine Entschädigung ver- einbart worden sei. Bezüglich des Wohnrechts ergibt sich aus dem öffent- lich beurkundeten Kaufvertrag einzig, dass die Beschwerdeführenden auf ihr seit 21. Juli 2005 bestehendes Wohnrecht an der Liegenschaft "C." verzichteten. Dass für die Löschung des Wohnrechts ausdrücklich keine</w:t>
      </w:r>
    </w:p>
    <w:p>
      <w:r>
        <w:t>- 8 - Entschädigung vereinbart worden wäre, geht aus dem öffentlich be- urkundeten Kaufvertrag vom 25. März 2020 jedoch nicht hervor. Die Beschwerdegegnerin ging im vorliegenden Fall weiter davon aus, dass einzig der Miteigentumsanteil der Tochter von einem Drittel mit einem Wohnrecht belastet gewesen sei. In ihrer Stellungnahme vom 18. April 2023 führt sie diesbezüglich aus, da die Beschwerdeführenden zu zwei Drittel Miteigentümer gewesen seien, müsse folglich das Wohnrecht auf dem restlichen Drittel Fremdeigentumsanteil gelastet haben (Stellung- nahme der Beschwerdegegnerin vom 18. April 2023). Wie ausgeführt ist gemäss herrschender Lehre möglich, dass ein Miteigentumsanteil mit einem Wohnrecht belastet wird, sofern eine Nutzungsordnung vorliegt, wel- che eine klare Ausscheidung der jedem Miteigentümer zustehenden Nutzungsrechte vornimmt (E. 2.3.1.). Vorliegend befindet sich allerdings weder eine Nutzungsordnung noch der Grundbuchauszug betreffend die Liegenschaft "C." oder ein Dokument, aus dem der dem Wohnrecht zu Grunde liegende Erwerbstitel ersichtlich wäre, in den Akten. Es befinden sich auch sonst keine Hinweise bei den Akten, welche dafür sprächen, dass ausschliesslich der Miteigentumsanteil der Tochter mit einem Wohnrecht belastet war - aus den im Kaufvertrag vom 25. März 2020 (VB 132) aufgelisteten Dienstbarkeiten ist jedenfalls keine Aufteilung des Wohnrechts ersichtlich. Es fehlt deshalb an ausreichenden Abklärungen bezüglich der Frage, wel- chen Umfang das fragliche Wohnrecht hatte. Damit kann auch dessen Wert nicht bestimmt werden und die Frage, ob die Beschwerdeführenden eine adäquate Gegenleistung für die Veräusserung ihrer Miteigentumsanteile und den Verzicht auf ihr Wohnrecht an der Liegenschaft "C." erhielten, lässt sich aufgrund der Akten nicht beantworten. Der anspruchsrelevante Sachverhalt erweist sich demnach als in Verletzung des Unter- suchungsgrundsatzes von Art. 43 Abs. 1 ATSG ungenügend abgeklärt. Die Sache ist folglich zu weiteren Abklärungen an die Beschwerdegegnerin zu- rückzuweisen. Die Beschwerdegegnerin wird dabei insbesondere eine all- fällige Nutzungsordnung, den betreffenden Eintrag im Grundbuch und all- fällige das Bestellungsgeschäft des Wohnrechts betreffende Akten einzu- holen haben. Zudem werden bei einer Neuberechnung der Ergänzungs- leistungen für die Zeit ab dem 1. Januar 2020 die von den Beschwerdefüh- renden vor dem Verkauf ihrer Miteigentumsanteile tatsächlich übernomme- nen Hypothekarzinsen zu berücksichtigen sein, denn der Jahreswert eines Wohnrechts (oder einer Nutzniessung) entspricht dem Mietwert abzüglich jener Kosten, die vom EL-Bezüger im Zusammenhang mit der Nutz- niessung oder dem Wohnrecht tatsächlich übernommen werden (Rz. 3532.07 WEL; ERWIN CARIGIET/UWE KOCH, a.a.O., Rz. 680).</w:t>
      </w:r>
    </w:p>
    <w:p>
      <w:r>
        <w:t>- 9 -</w:t>
      </w:r>
    </w:p>
    <w:p>
      <w:r>
        <w:rPr>
          <w:b/>
        </w:rPr>
        <w:t>E. 4</w:t>
      </w:r>
    </w:p>
    <w:p>
      <w:r>
        <w:t>Unter Kosten- und Entschädigungsfolge." 2.2. Mit Vernehmlassung vom 13. September 2022 beantragte die Beschwer- degegnerin die Abweisung der Beschwerde, soweit darauf einzutreten sei. 2.3. Mit instruktionsrichterlicher Verfügung vom 28. November 2022 wurde die Beschwerdegegnerin ersucht, eine Vernehmlassung betreffend den Be- schwerdeführer sowie allfällige den Beschwerdeführer bettreffende Akten einzureichen. Mit Eingabe vom 2. Dezember 2022 teilte die Beschwerde- gegnerin mit, dass die Berechnung der jährlichen Ergänzungen der beiden Beschwerdeführenden als Ehepaar gemeinsam und "über das Dossier der Beschwerdeführerin 1" erfolgte sei, verwies auf ihre Vernehmlassung vom 13. September 2022 und die damit eingereichten Akten und beantragte, die Beschwerde sei abzuweisen, soweit darauf einzutreten sei. 2.4. Mit Beschluss vom 22. März 2023 wies das Versicherungsgericht die Par- teien darauf hin, dass es die Sache allenfalls an die Beschwerdegegnerin zur weiteren Abklärung und anschliessenden neuerlichen Entscheidung zurückweisen könnte. Gleichzeitig wurde den Parteien die Gelegenheit zur Stellungnahme sowie den Beschwerdeführenden zusätzlich zum allfälligen Rückzug der Beschwerde gegeben. 2.5. Mit Eingabe vom 18. April 2023 reichte die Beschwerdegegnerin eine Stel- lungnahme ein. Nach zweimalig gewährter Fristerstreckung reichten die Beschwerdeführenden mit Eingabe vom 22. Mai 2023 eine Stellungnahme ein und hielten an ihrer Beschwerde vom 16. August 2022 fest.</w:t>
      </w:r>
    </w:p>
    <w:p>
      <w:r>
        <w:t>- 4 - Das Versicherungsgericht zieht in Erwägung: 1. 1.1. Die Beschwerdegegnerin rechnete den Beschwerdeführenden im ange- fochtenen Einspracheentscheid vom 17. Juni 2022 für den Verzicht auf das Wohnrecht auf dem "1/3 (nackten) Eigentumsanteil der Tochter" Fr. 5'973.00 als Einnahmeverzicht an, da sie für den Verzicht keinerlei Ent- schädigung erhalten hätten (Vernehmlassungsbeilage [VB] 253 f. E. 6). 1.2. Die Beschwerdeführenden bringen in ihrer Beschwerde dagegen vor, sie hätten auf ihr Wohnrecht verzichtet und mit der Tochter einen Mietvertrag über die Liegenschaft zu einem monatlichen Mietzins von Fr. 1'000.00 ge- schlossen. Dieser Teil der Vereinbarung sei notwendig gewesen, damit die Tochter überhaupt ihre Miteigentumsanteile mit der darauf lastenden Hy- pothek übernommen hätte. Der Verzicht auf das Wohnrecht stelle folglich kein Einkommensverzicht dar, sondern sei Teil einer ausgewogenen Ver- einbarung gewesen (Beschwerde S. 4 f.). 1.3. Streitig und zu prüfen ist somit, ob bei der Ermittlung des Anspruchs der Beschwerdeführenden auf Ergänzungsleistungen für die Zeit ab dem 1. Ja- nuar 2020 der im öffentlich beurkundeten Kaufvertrag vom 25. März 2020 (VB 131) vereinbarte Verzicht auf das Wohnrecht zu Recht als Einkom- mensverzicht berücksichtigt wurde. 2. 2.1. Gemäss Art. 10 Abs. 3 lit. d ELG in der bis 31. Dezember 2020 gültigen Fassung wurde ein jährlicher Pauschalbetrag für die obligatorische Kran- kenpflegeversicherung als Ausgabe anerkannt. Dieser Pauschalbetrag hatte dabei der kantonalen beziehungsweise regionalen Durchschnittsprä- mie für die obligatorische Krankenpflegeversicherung (inkl. Unfalldeckung) zu entsprechen. Nach neuem Recht wird der tatsächliche Betrag für die obligatorische Krankenpflegeversicherung, jedoch höchstens die kantonale bzw. regionale Durchschnittsprämie, als Ausgabe anerkannt (Art. 10 Abs. 3 lit. d ELG in der ab 1. Januar 2021 geltenden Fassung). Für Bezügerinnen und Bezüger von Ergänzungsleistungen, für die die EL-Reform insgesamt einen tieferen Betrag der jährlichen Ergänzungsleistungen oder einen Ver- lust des Anspruchs auf eine jährliche Ergänzungsleistung zur Folge hat, gilt während dreier Jahren ab Inkrafttreten dieser Änderung das bisherige Recht (Abs. 1 der Übergangsbestimmungen zur Änderung vom 22. März 2019 [EL-Reform]).</w:t>
      </w:r>
    </w:p>
    <w:p>
      <w:r>
        <w:t>- 5 - Da dies bei der EL-Berechnung für die Beschwerdeführerin zu tieferen Aus- gaben führte (vgl. VB 170; 172), erfolgte die Berechnung auch ab Januar 2021 nach bisherigem Recht, was von den Beschwerdeführenden nicht be- anstandet wird (Beschwerde S. 3) und zu keinen weiteren Ausführungen Anlass gibt. 2.2. 2.2.1. Gemäss Art. 4 Abs. 1 i.V.m. Art. 9 Abs. 1 ELG haben Personen mit Wohn- sitz und gewöhnlichem Aufenthalt (Art. 13 ATSG) in der Schweiz, welche eine der Voraussetzungen nach den Art. 4 Abs. 1 lit. a bis d ELG erfüllen, Anspruch auf Ergänzungsleistungen, wenn die anerkannten Ausgaben (Art. 10 ELG) die anrechenbaren Einnahmen (Art. 11 ELG) übersteigen. 2.2.2. Die anrechenbaren Einnahmen werden nach Art. 11 ELG ermittelt. Zu den anrechenbaren Einnahmen gehören unter anderem nebst Erwerbseinkünf- ten, Renten, Pensionen und anderen wiederkehrenden Leistungen auch Einkünfte aus beweglichem und unbeweglichem Vermögen (Art. 11 Abs. 1 lit. a, b und d ELG). Dabei umfasst der Ertrag aus unbeweglichem Vermö- gen Miet- und Pachtzinse, Nutzniessungen, Wohnrechte sowie den Miet- wert der selbstbewohnten Wohnung (ERWIN CARIGIET/UWE KOCH, Ergän- zungsleistungen zur AHV/IV, 3. Aufl., Zürich/Basel/Genf 2021, Rz. 600). Als Einkommen anzurechnen sind auch Einkünfte und Vermögenswerte, auf die verzichtet worden ist (Art. 11 Abs. 1 lit. g ELG). Nach der Recht- sprechung ist der Tatbestand des Art. 11 Abs. 1 lit. g ELG erfüllt, wenn die anspruchsberechtigte Person ohne rechtliche Verpflichtung und ohne adä- quate Gegenleistung auf Einkünfte oder Vermögen verzichtet hat (BGE 131 V 329 E. 4.2; BGE 121 V 204 E. 4b; BGE 120 V 187 E. 2b). Wenn eine Person von einem Wohnrecht keinen Gebrauch mehr macht oder gänzlich darauf verzichtet – insbesondere, wenn das Wohnrecht aus dem Grund- buch gelöscht oder gar nicht erst eingetragen wird – ist dessen Jahreswert als Einkommen aus unbeweglichem Vermögen anzurechnen (Urteil des Bundesgerichts P 43/06 vom 11. April 2007 E. 4; BGE 99 V 110 S. 110; Rz. 3433.05 Wegleitung über die Ergänzungsleistungen zur AHV und IV [WEL]). 2.2.3. Bei Ehegatten sind die anerkannten Ausgaben sowie die anrechenbaren Einnahmen gemäss Art. 9 Abs. 2 ELG grundsätzlich zusammenzurech- nen. Dementsprechend sind auch Einkommens- und Vermögensverzichte beider Ehegatten zu berücksichtigen, ungeachtet der eigentums- oder ehe- güterrechtlichen Situation (Urteil des Bundesgerichts 8C_581/2008 vom 25. September 2008 E. 3.1).</w:t>
      </w:r>
    </w:p>
    <w:p>
      <w:r>
        <w:t>- 6 - 2.3. 2.3.1. Steht eine Sache im Miteigentum, so haben sie mehrere Personen nach Bruchteilen und ohne äusserliche Abteilung in ihrem Eigentum (Art. 646 Abs. 1 ZGB). Ein Miteigentümer kann die Sache belasten, soweit dies nicht mit den Nutzungsbefugnissen der anderen Miteigentümer an der gemein- schaftlichen Sache kollidiert (BARBARA GRAHAM-SIEGENTHALER, Berner Kommentar, Das Eigentum Allgemeine Bestimmungen, Art. 641-654a ZGB, Bern 2022, N. 110 zu Art. 646 ZGB). Belastet ist jedoch stets die Sa- che selbst (PASCAL SIMONIUS/THOMAS SUTTER, Schweizerisches Immo- biliarsachenrecht Bd. II, Basel 1989, S. 98; BENNO SCHNEIDER, Das schwei- zerische Miteigentumsrecht, Diss., Bern 1973, S. 68). Gemäss herrschen- der Lehre können gewöhnliche Miteigentumsanteile mit einem Wohnrecht belastet werden, sofern die Benutzungsordnung eine klare Ausscheidung der jedem Miteigentümer zustehenden Nutzungsrechte vornimmt (MAX BAUMANN, in: Peter Gauch, Jörg Schmid [Hrsg.], Zürcher Kommentar Band IV/2a, Kommentar zum Schweizerischen Zivilgesetzbuch, Sachenrecht, Die Dienstbarkeiten und Grundlasten, Nutzniessung und andere Dienstbar- keiten, 3. Aufl., Zürich 1999, N. 3 zu Art. 776 ZGB; BARBARA GRAHAM-SIE- GENTHALER, a.a.O., N. 112 zu Art. 646 ZGB). Zudem können alle Miteigen- tümer zusammen über die gemeinsame Sache verfügen und sie insbeson- dere auch zugunsten eines Miteigentümers belasten (BENNO SCHNEIDER, a.a.O., S. 69 f.; BARBARA GRAHAM-SIEGENTHALER, a.a.O., N. 68 zu Art. 646 ZGB). Dem berechtigten Miteigentümer steht in einem solchen Fall ein be- schränktes dingliches Recht auch am eigenen Eigentumsanteil zu (BENNO SCHNEIDER, a.a.O., S. 70; ARTHUR MEIER-HAYOZ, Berner Kommentar, Das Eigentum Allgemeine Bestimmungen, Art. 641-654 ZGB, 5. Aufl., Bern 1981, N. 68 zu Art. 646 ZGB). 2.3.2. Gemäss Art. 776 Abs. 1 ZGB berechtigt das Wohnrecht, in einem Gebäude oder in einem Teil eines solchen Wohnung zu nehmen. Das Wohnrecht lastet aufgrund des Spezialitätsprinzips auf der ganzen Parzelle (PASCAL SIMONIUS/THOMAS SUTTER, a.a.O., S. 119). Jedoch hat sich die Ausübung der Dienstbarkeit nicht notwendigerweise auf die ganze Liegenschaft zu erstrecken, sondern es können dem Wohnrechtberechtigten auch einzelne Teile zugewiesen werden (PASCAL SIMONIUS/THOMAS SUTTER, a.a.O., S. 119). Wo nicht die ganze Parzelle im Wohnrecht steht, ist die Bestim- mung der dem Wohnrechtberechtigten zur Verfügung stehenden Räum- lichkeiten Sache des Bestellungsgeschäftes (PASCAL SIMONIUS/THOMAS SUTTER, a.a.O., S. 119 f.). Zudem kann das Wohnrecht in einer aus- schliesslichen Nutzungsberechtigung bestehen, es kann aber auch als Mit- benutzungsrecht nur die Berechtigung umfassen, eine Wohnung zusam- men mit dem Eigentümer oder einer Drittperson zu nutzen (MAX BAUMANN, in: Peter Gauch, Jörg Schmid [Hrsg.], Zürcher Kommentar Band IV/2a, Kommentar zum Schweizerischen Zivilgesetzbuch, Sachenrecht, Die</w:t>
      </w:r>
    </w:p>
    <w:p>
      <w:r>
        <w:t>- 7 - Dienstbarkeiten und Grundlasten, Nutzniessung und andere Dienstbarkei- ten, 3. Aufl., Zürich 1999, N. 9 f. zu Art. 776 ZGB). Sodann kann ein aus- schliessliches Wohnrecht an einem Teil des Gebäudes verbunden mit einem Mitbenutzungsrecht an Gemeinschaftseinrichtungen eingeräumt werden (MAX BAUMANN, a.a.O., N. 9 f. zu Art. 776 ZGB). 2.3.3. Nach Art. 738 Abs. 1 ZGB, welcher sinngemäss auch auf das Wohnrecht anwendbar ist (MICHEL MOOSER, in: Thomas Geiser, Stephan Wolf [Hrsg.], Basler Kommentar Zivilgesetzbuch II, 6. Aufl., Basel 2019, N. 17 zu Art. 776 ZGB), ist für den Inhalt einer Dienstbarkeit der Eintrag im Grund- buch massgebend, soweit sich Rechte und Pflichten daraus deutlich erge- ben. Nach Abs. 2 der gleichen Bestimmung kann sich der Inhalt der Dienst- barkeit im Rahmen des Grundbucheintrags aus ihrem Erwerbsgrund oder aus der Art ergeben, wie sie während längerer Zeit unangefochten und in guten Treuen ausgeübt worden ist. 3.</w:t>
      </w:r>
    </w:p>
    <w:p>
      <w:r>
        <w:rPr>
          <w:b/>
        </w:rPr>
        <w:t>E. 4.1</w:t>
      </w:r>
    </w:p>
    <w:p>
      <w:r>
        <w:t>Nach dem Dargelegten ist die Beschwerde in dem Sinne gutzuheissen, dass der angefochtene Einspracheentscheid vom 17. Juni 2022 aufzuhe- ben und die Sache zur weiteren Abklärung im Sinne der Erwägungen und zur Neuverfügung an die Beschwerdegegnerin zurückzuweisen ist.</w:t>
      </w:r>
    </w:p>
    <w:p>
      <w:r>
        <w:rPr>
          <w:b/>
        </w:rPr>
        <w:t>E. 4.2</w:t>
      </w:r>
    </w:p>
    <w:p>
      <w:r>
        <w:t>Das Verfahren ist kostenlos (Art. 61 lit. fbis ATSG).</w:t>
      </w:r>
    </w:p>
    <w:p>
      <w:r>
        <w:rPr>
          <w:b/>
        </w:rPr>
        <w:t>E. 4.3</w:t>
      </w:r>
    </w:p>
    <w:p>
      <w:r>
        <w:t>Ausgangsgemäss haben die Beschwerdeführenden Anspruch auf Ersatz der richterlich festzusetzenden Parteikosten (Art. 61 lit. g ATSG), denn die Rückweisung der Sache an die Verwaltung zwecks Vornahme ergänzen- der Abklärungen gilt als anspruchsbegründendes Obsiegen (BGE 132 V 215 E. 6.1 S. 235 mit Hinweisen). Das Versicherungsgericht erkennt: 1. In teilweiser Gutheissung der Beschwerde wird der Einspracheentscheid vom 17. Juni 2022 aufgehoben und die Sache zur weiteren Abklärung im Sinne der Erwägungen und Neuverfügung an die Beschwerdegegnerin zu- rückgewiesen. 2. Es werden keine Verfahrenskosten erhoben. 3. Die Beschwerdegegnerin wird verpflichtet, den Beschwerdeführenden die Parteikosten in richterlich festgesetzter Höhe von Fr. 1'500.00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w:t>
      </w:r>
    </w:p>
    <w:p>
      <w:r>
        <w:t>- 10 -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19. Juni 2023 Versicherungsgericht des Kantons Aargau 3. Kammer Die Präsidentin Der Gerichtsschreiber: Gössi Güntert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