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VBE.2022.242 vom 31. August 2023</w:t>
      </w:r>
    </w:p>
    <w:p>
      <w:r>
        <w:t>Ag Versicherungsgericht, 2023-08-31, DE</w:t>
      </w:r>
    </w:p>
    <w:p>
      <w:r>
        <w:rPr>
          <w:b/>
        </w:rPr>
        <w:t xml:space="preserve">Quelle: </w:t>
      </w:r>
      <w:r>
        <w:t>https://mcp.opencaselaw.ch/entscheid/ag_versicherungsgericht_VBE.2022.242</w:t>
      </w:r>
    </w:p>
    <w:p>
      <w:r>
        <w:t>FR: AG_VERSICHERUNGSGERICHT VBE.2022.242 du 31 août 2023</w:t>
      </w:r>
    </w:p>
    <w:p>
      <w:r>
        <w:t>IT: AG_VERSICHERUNGSGERICHT VBE.2022.242 del 31 agosto 2023</w:t>
      </w:r>
    </w:p>
    <w:p>
      <w:pPr>
        <w:pStyle w:val="Heading2"/>
      </w:pPr>
      <w:r>
        <w:t>Erwägungen</w:t>
      </w:r>
    </w:p>
    <w:p>
      <w:r>
        <w:rPr>
          <w:b/>
        </w:rPr>
        <w:t>E. 12</w:t>
      </w:r>
    </w:p>
    <w:p>
      <w:r>
        <w:t>Dezember 2019 E. 3.1). 3.5. Da damit der Rückkommenstitel der Wiedererwägung gegeben ist, ist nicht weiter auf die Vorbringen der Beschwerdeführerin hinsichtlich eines Revi- sionsgrundes nach Art. 17 ATSG (vgl. Beschwerde S. 5 ff.; vgl. Urteil des Bundesgerichts 8C_453/2021 vom 6. Oktober 2021 E. 4.3) einzugehen. 4. 4.1. Bei der Wiedererwägung einer formell rechtskräftigen Verfügung gilt es, mit Wirkung ex nunc et pro futuro einen rechtskonformen Zustand herzustellen (Urteil des Bundesgerichts 8C_597/2019 vom 12. Dezember 2019 E. 3.1). Diesbezüglich stützte sich die Beschwerdegegnerin in der vorliegend an- gefochtenen Verfügung vom 25. Mai 2022 (VB 270) in medizinischer Hin- sicht insbesondere auf das rheumatologisch-psychiatrische Gutachten der Dres. med. C. und D. vom 30. Oktober 2020. Darin wurden die folgenden Diagnosen gestellt (VB 222.3 S. 9 f.): "Rheumatologische Diagnosen mit Auswirkung auf die Arbeitsfähigkeit Chronisches panvertebrales Schmerzsyndrom mit/bei - Fehlstatik mit zervikaler Streckhaltung, thorakaler Hyperkyphose bei Zu- stand nach thorakalem Morbus Scheuermann, lumbal leichter linkskon- vexer Skoliose sowie Haltungsinsuffizienz mit muskulärer Dysbalance und Dekonditionierung - ausgeprägter Segmentdegeneration L5/S1, mässig ausgeprägt C5/6 und midthorakal sowie leichtgradig ausgeprägt C4/5, L3/4 und L4/5 mit - kernspintomographisch nachgewiesener, kleiner Diskushernie L5/S1 2004 Manifester Grosszehengrundgelenksarthrose beidseits mit/bei - Hallux valgus beidseits im Rahmen eines Senkspreizfusses beidseits - St. N. therapeutischer, antiinflammatorischer Radiotherapie 05/2019 und 12/2019 Metatarsalgie II/III rechts bei - Knicksenkspreizfuss beidseits - Grosszehengrundgelenksarthrose beidseits rechtsbetont Beidseits leichtgradige Coxarthrose bei Cox profunda mit Periarthropa- thia coxae links."</w:t>
      </w:r>
    </w:p>
    <w:p>
      <w:r>
        <w:t>- 10 - "Psychiatrische Diagnosen Es ist von einer Agoraphobie ohne spezifische Panikstörung auszugehen (ICD-10: F40.00). Es ist von einer rezidivierenden depressiven Erkrankung gegenwärtig leichtgradig ohne somatisches Syndrom (ICD-10: F33.00) auszugehen. Es findet sich die Diagnose Psychische und Verhaltensstörungen durch Sedativa oder Hypnotika: Abhängigkeitssyndrom, gegenwärtiger Sub- stanzgebrauch (ICD-10: F13.24)." Die Gutachter hielten fest, dass in der angestammten sowie in einer ange- passten Tätigkeit von einer 80%igen Arbeitsfähigkeit auszugehen sei. Ret- rospektiv sei basierend auf der Aktenlage und den widersprüchlichen Be- funden zu keinem Zeitpunkt ab Februar 2006 nachvollziehbar eine höhere Einschränkung der Arbeitsfähigkeit dokumentierbar (VB 222.3 S. 15 ff.). 4.2. 4.2.1.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4.2.2.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4.3. Das Gutachten der Dres. med. C. und D. vom 30. Oktober 2020 (VB 222.2 ff.), ergänzt durch die rheumatologische Stellungnahme von Dr. med. D. vom 17. Januar 2022 (VB 260), wird den von der Rechtsprechung formu- lierten Anforderungen an eine beweiskräftige medizinische Stellungnahme (vgl. E. 4.2.1. hiervor) gerecht. Das Gutachten ist in Kenntnis der Vorakten (Anamnese) erstellt worden (vgl. VB 222.3 S. 4 ff.; 222.4 S. 1 ff.; 222.5 S. 6 ff.; 222.7 S. 2 ff.; 260 S. 3 ff.), gibt die subjektiven Angaben der Be- schwerdeführerin ausführlich wieder (vgl. VB 222.3 S. 11 f.; 222.5 S. 26 ff.; 222.7 S. 32 ff.; 260 S. 40 ff.), beruht auf allseitigen Untersuchungen in den beteiligten Fachdisziplinen (vgl. VB 222.5 S. 33 ff.; 222.7 S. 50 ff.; 260 S. 58 ff.) und die Gutachter setzten sich im Anschluss an die Herleitung der Diagnosen eingehend mit den subjektiven Beschwerdeangaben bzw. den medizinischen Akten auseinander (vgl. VB 222.3 S. 12 ff.; 222.5 S. 36 ff.;</w:t>
      </w:r>
    </w:p>
    <w:p>
      <w:r>
        <w:t>- 11 - 222.7 S. 61 ff.; 260 S. 71 ff.). Das Gutachten sowie die Stellungnahme sind in der Beurteilung der medizinischen Zusammenhänge und der medizini- schen Situation nachvollziehbar und damit grundsätzlich geeignet, den Be- weis für den anspruchserheblichen medizinischen Sachverhalt zu erbrin- gen. 4.4. 4.4.1. Die Beschwerdeführerin bringt demgegenüber vor, auf das Gutachten der Dres. med. C. und D. vom 30. Oktober 2020 sei nicht abzustellen, da dem PMEDA-Gutachten vom 5. März 2018 voller Beweiswert zukomme. Es sei nicht ersichtlich, wieso die Beschwerdegegnerin nochmals ein Gutachten eingeholt habe, ausser dass sie das PMEDA-Gutachten durch ein bidiszip- linäres Gutachten zu entwerten versucht habe (vgl. Beschwerde S. 5, 7). Dabei verkennt die Beschwerdeführerin jedoch, dass das Versicherungs- gericht im Urteil VBE.2019.93 vom 25. November 2019 (VB 177) zum Schluss gekommen ist, dass konkrete Indizien gegen die Vollständigkeit und Zuverlässigkeit des PMEDA-Gutachtens betreffend die geltend ge- machten psychischen Beschwerden der Beschwerdeführerin sprechen. Daher wurde die Sache zu ergänzenden fachärztlichen Abklärungen – ge- gebenenfalls auch in somatischer Hinsicht – und zur Neuverfügung an die Beschwerdegegnerin zurückgewiesen (vgl. VBE.2019.93 vom 25. Novem- ber 2019 E. 5). Die Beschwerdegegnerin führte im Nachgang an das Rück- weisungsurteil VBE.2019.93 vom 25. November 2019 die entsprechenden ergänzenden Abklärungen in Form eines psychiatrisch-rheumatologischen Gutachtens bei den Dres. med. C. und D. durch, wobei die Auswahl der Fachdisziplinen dabei in ihrem Ermessen lag (vgl. RAD-Stellungnahme vom 23. März 2020, VB 193 S. 3; Urteil des Bundesgerichts 8C_431/2023 vom 26. Januar 2022 E. 4.1) und ausweislich der Akten keine konkreten Hinweise ersichtlich sind oder substantiiert geltend gemacht werden, die dies in Frage stellen würden. 4.4.2. Weiter bringt die Beschwerdeführerin vor, das Gutachten der Dres. med. C. und D. vom 30. Oktober 2020 weise zahlreiche Widersprüche zu den Vor- gutachten auf, welche nicht geklärt würden (Beschwerde S. 8). Die Gutachter Dres. med. C. und D. gehen in ihrem Gutachten vom 30. Ok- tober 2020 auf die bisherige Krankheitsentwicklung, insbesondere auch auf die Vorgutachten – ZMB-Gutachten vom 15. August 2014 (VB 49) und PMEDA-Gutachten vom 5. März 2018 (VB 133.2) – ein. Sie setzen dazu ihre eigene aktuelle, eingehende rheumatologische sowie psychiatrische Untersuchung in Bezug (VB 222.3 S. 5 ff.). Hinsichtlich der Kritik von RAD- Facharzt Dr. med. J. am PMEDA-Gutachten, welche mit Urteil VBE.2019.93 vom 25. November 2019 zur Rückweisung der Sache an die Beschwerdegegnerin zur weiteren Abklärung führte, ist festzuhalten, dass</w:t>
      </w:r>
    </w:p>
    <w:p>
      <w:r>
        <w:t>- 12 - Dr. med. C. sowohl psychiatrische Diagnosen aufführt (VB 222.3 S. 10), als auch psychiatrisch bedingt von einer um 20 % verminderten Arbeitsfä- higkeit ausgeht (VB 222.3 S. 15). Insgesamt gelangen die Gutachter Dres. med. C. und D. nachvollziehbar begründet zum Schluss, dass von einer 80%igen Arbeitsfähigkeit in der angestammten sowie in einer ange- passten Tätigkeit auszugehen sei (VB 222.3 S. 15 f.). Inwiefern Widersprü- che zu den Vorgutachten bestehen würden, die von den Gutachtern nicht offengelegt und begründet würden, gibt die Beschwerdeführerin in ihrer Be- schwerde nicht an und solche sind auch nicht ersichtlich. 4.4.3. Soweit die Beschwerdeführerin geltend macht, dem bidisziplinären Gutach- ten der Dres. med. C. und D. vom 30. Oktober 2020 komme kein Beweis- wert zu, da es sich nicht hinreichend darüber ausspreche, inwiefern und ab wann genau eine effektive Besserung des Gesundheitszustandes stattge- funden habe (vgl. Beschwerde S. 5 ff.), ist auf vorangehende Ausführun- gen zu verweisen, wonach offengelassen werden kann, ob vorliegend ein Revisionsgrund gegeben wäre (vgl. E. 3.5. hiervor). Damit erübrigen sich diesbezügliche Weiterungen. 4.5. Zusammenfassend sind weder den Ausführungen der Beschwerdeführerin noch den Akten konkrete Hinweise zu entnehmen, welche am Gutachten der Dres. med. C. und D. vom 30. Oktober 2020 (VB 222.3) Zweifel zu be- gründen vermöchten (Beweisgrad der überwiegenden Wahrscheinlichkeit; BGE 134 V 109 E. 9.5, mit Hinweis). Der medizinische Sachverhalt erweist sich vor diesem Hintergrund als vollständig abgeklärt, weshalb auf weitere Abklärungen in antizipierter Beweiswürdigung zu verzichten ist, da von die- sen keine weiteren Erkenntnisse zu erwarten sind (vgl. BGE 144 V 361 E. 6.5 S. 368 mit Hinweisen). Es ist damit auch retrospektiv von einer 80%i- gen Arbeitsfähigkeit der Beschwerdeführerin in angestammter und ange- passter Tätigkeit auszugehen (VB 222.3 S. 15 ff.). 5. 5.1. In der angefochtenen Verfügung vom 25. Mai 2022 stellte die Beschwerde- gegnerin zur Ermittlung des Invaliditätsgrades auf die Verhältnisse per 31. März 2016 ab, da die Rente der Beschwerdeführerin mit Verfügung vom 29. Januar 2016 per 31. März 2016 aufgehoben und einer allfälligen Beschwerde gegen diese Verfügung die aufschiebende Wirkung entzogen worden war (VB 72; vgl. Urteile des Bundesgerichts 8C_118/2017 vom 28. August 2017 E. 6.2.3; 9C_226/2017 vom 7. August 2017 E. 5.2.4). Die Beschwerdegegnerin indexierte dementsprechend für die Berechnung des Valideneinkommens das zuletzt erzielte Einkommen der Beschwerdefüh- rerin auf das Jahr 2016 und stützte sich für die Berechnung des Invaliden- einkommens auf die LSE 2016 (VB 270 S. 2 f.).</w:t>
      </w:r>
    </w:p>
    <w:p>
      <w:r>
        <w:t>- 13 - 5.2. Hinsichtlich der erwerblichen Auswirkungen des Gesundheitsschadens bringt die Beschwerdeführerin ausschliesslich vor, es sei ihr aufgrund ihres Alters, der langen Abwesenheit vom Arbeitsmarkt und ihren gesundheitli- chen Einschränkungen ein Abzug vom Tabellenlohn in der Höhe von 25 % zu gewähren (vgl. Beschwerde S. 6, 9 f.). 5.3. 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Abzugs ist der Einfluss aller in Betracht fallenden Merkmale auf das Invalideneinkommen unter Würdigung der Umstände im Einzelfall ge- samthaft zu schätzen und insgesamt auf höchstens 25 % des Tabellen- lohns zu begrenzen (BGE 135 V 297 E. 5.2 S. 301; 134 V 322 E. 5.2 S. 327 f. 129 V 472 E. 4.2.3 S. 481; 126 V 75 [insbesondere E. 5 S. 78 ff.]). 5.4. Gemäss Gutachten der Dres. med. C. und D. vom 30. Oktober 2020 ist die Beschwerdeführerin in körperlich leichten und mittelschweren Tätigkeiten in wechselnden Körperpositionen, unter Vermeidung von den Nacken, den Rücken, die Vorfüsse und das linke Hüftgelenk überbelastenden Arbeits- positionen, ohne Arbeitshaltungen mit häufig vorgeneigtem oder abgedreh- tem Oberkörper, ohne Arbeitspositionen mit häufiger Rumpfrotation im Sit- zen mit fixiertem Becken, ohne stehende oder sitzende Zwangshaltungen ohne die Möglichkeit, zwischendurch zur Entlastung aufzustehen, ohne ge- häufte Überkopftätigkeiten mit reklinierter Halswirbelsäule, ohne gehäuftes Knien und Kauern, ohne Witterungsexposition oder Tätigkeiten mit vibrie- renden Maschinen, Leitern, Gerüsten oder Dächern, ohne Führung von schweren Maschinen oder Staplerfahren und ohne die Bearbeitung von Gefahrengut zu 80 % arbeitsfähig (VB 222.3 S. 15 f.). Den gesundheitlichen Einschränkungen der Beschwerdeführerin wurde da- mit bei der Arbeitsfähigkeitseinschätzung mit der 20%igen Leistungsein- schränkung und der Definition des Zumutbarkeitsprofils Rechnung getra- gen, womit diese nicht noch zu einem zusätzlichen leidensbedingten Abzug</w:t>
      </w:r>
    </w:p>
    <w:p>
      <w:r>
        <w:t>- 14 - führen können. Der angewandte und unumstritten gebliebene Tabellenlohn des Kompetenzniveaus 1 basiert bereits auf einer Vielzahl von geeigneten leichten und mittelschweren Tätigkeiten, womit vorliegend trotz der qualita- tiven Einschränkungen der Beschwerdeführerin von einem genügend brei- ten Spektrum an zumutbaren Verweistätigkeiten auf dem massgeblichen ausgeglichenen Arbeitsmarkt auszugehen ist (vgl. Urteile des Bundesge- richts 8C_715/2022 vom 8. März 2023 E. 10.4.2.1; 8C_250/2022 vom 8. November 2022 E. 5.3.2 f.). Diesbezüglich gilt insbesondere auch, dass die gesundheitlich bedingte Unmöglichkeit, körperlich schwere Arbeit zu verrichten, nicht automatisch zu einem leidensbedingten Abzug führt (vgl. Urteil des Bundesgerichts 8C_799/2021 vom 3. März 2022 E. 4.3.2). Dass die Beschwerdeführerin selbst im Rahmen körperlich leichter und mittel- schwerer Hilfsarbeitertätigkeiten in ihrer Leistungsfähigkeit eingeschränkt ist (quantitativ zu 20 %), kann sich jedoch rechtsprechungsgemäss lohn- mindernd auswirken (vgl. BGE 148 V 174 E. 6.3 S. 182 mit Hinweisen; Ur- teile des Bundesgerichts 9C_311/2022 vom 18. April 2023 E. 4.3.2; 8C_283/2022 vom 16. Februar 2023 E. 4.2.2 und 4.3; 9C_395/2022 vom 4. November 2022 E. 4.5.3). Das Alter der 1966 geborenen Beschwerdeführerin wirkt sich dagegen sta- tistisch betrachtet einkommenserhöhend aus (BfS, LSE 2016 [vgl. E. 5.1. hiervor und E. 5.5. nachfolgend], Tabelle T9b, monatlicher Bruttolohn nach Lebensalter, beruflicher Stellung und Geschlecht, ohne Kaderfunktion, Frauen, Median, Total und 50 – 64/65 Jahre). Der der Beschwerdeführerin noch zumutbare Beschäftigungsgrad von 80 % hat ebenfalls eine lohnstei- gernde Wirkung (BfS, LSE 2016, Tabelle T18, Monatlicher Bruttolohn nach Beschäftigungsgrad, beruflicher Stellung und Geschlecht, ohne Kaderfunk- tion, Frauen, Total und Teilzeit [75 % - 89 %]). Der Aufenthaltsstatus der Niederlassungsbewilligung C (VB 2.2 S.1) hat dagegen eher eine lohnsen- kende Wirkung (BfS, LSE 2016, Tabelle T12_b, monatlicher Bruttolohn, Schweizer/innen und Ausländer/innen, nach beruflicher Stellung und Ge- schlecht, ohne Kaderfunktion, Total, Frauen, Median, Total und Niederge- lassene [Kat. C]). Eine lange Abwesenheit vom Arbeitsmarkt fällt des Wei- teren bei Tätigkeiten des Kompetenzniveaus 1 nicht ins Gewicht (vgl. Urteil des Bundesgerichts 9C_414/2017 vom 21. September 2017 E. 4.3). Einfa- che und repetitive Tätigkeiten des angewandten Kompetenzniveaus 1 er- fordern zudem weder gute Sprachkenntnisse noch ein besonderes Bil- dungsniveau (vgl. Urteil des Bundesgerichts 8C_549/2019 vom 26. No- vember 2019 E. 7.7) oder Berufserfahrung (vgl. Urteil des Bundesgerichts 8C_227/2018 vom 14. Juni 2018 E. 4.2.3.3 mit Hinweisen). Insgesamt halten sich damit lohnsenkende und lohnsteigernde Faktoren die Waage. Da vorliegend zudem selbst bei Vornahme eines 15%igen Ab- zugs vom Tabellenlohn kein rentenbegründender Invaliditätsgrad von min- destens 40 % (Art. 28 Abs. 1 lit. c IVG) resultieren würde (Valideneinkom- men: Fr. 58'966.00 [VB 270 S. 2 f.]; Invalideneinkommen: Fr. 43'665.00</w:t>
      </w:r>
    </w:p>
    <w:p>
      <w:r>
        <w:t>- 15 - [VB 270 S. 2 f.] x 0.85 = Fr. 37'115.25; Erwerbseinbusse: Fr. 58'966.00 - Fr. 37'115.25 = Fr. 21'850.75; Invaliditätsgrad: Fr. 21'850.75 / Fr. 58'966.00 x 100 % = 37.06 %; gerundet gemäss BGE 130 V 121 = 37 %) und ein höherer Abzug rechtsprechungsgemäss klarerweise nicht gerechtfertigt wäre (vgl. Urteile des Bundesgerichts 9C_311/2022 vom 18. April 2023 E. 4.3.2; 8C_283/2022 vom 16. Februar 2023 E. 4.2.2; 9C_360/2022 vom 4. November 2022 E. 4.4), erübrigen sich diesbezügliche Weiterungen. 5.5. Da damit kein rentenbegründender Invaliditätsgrad von mindestens 40 % (Art. 28 Abs. 2 IVG) besteht, rechtfertigt es sich, die am 25. Mai 2022 ver- fügungsweise erfolgte Rentenaufhebung mittels substituierter Begründung der Wiedererwägung nach Art. 53 Abs. 2 ATSG zu schützen. Vorliegend ergibt sich, dass die Beschwerdeführerin seit Februar 2006 in angepasster und angestammter Tätigkeit zu 80 % arbeitsfähig ist (vgl. E. 4.5. hiervor). Weil mit der Verfügung vom 25. Mai 2022 ein Rentenanspruch korrekter- weise wiederum verneint wurde, ist der Zeitpunkt der Rentenaufhebung per 31. Mai 2016 damit zu bestätigen (vgl. auch Urteile des Bundesgerichts 9C_383/2021 vom 23. November 2021 E. 3; 8C_118/2017 vom 28. August 2017 E. 6.2.3; 9C_226/2017 vom 7. August 2017 E. 5.2.4). 6. 6.1. Es ist weiter festzuhalten, dass im vorliegend massgebenden, am 25. Mai 2022 verfügten Zeitpunkt der Rentenaufhebung per 31. Mai 2016 (VB 270; vgl. BGE 141 V 5 E. 4.2.1 S. 7 f.) die am 12. März 1966 geborene Be- schwerdeführerin das 55. Altersjahr noch nicht zurückgelegt und erst seit elf Jahren und einem Monat (seit dem 1. März 2005; VB 11) eine Invaliden- rente bezogen hatte. Daher durfte die Beschwerdegegnerin die Rente der Beschwerdeführerin ohne vorgängige Durchführung befähigender Mass- nahmen aufheben (vgl. BGE 145 V 209 E. 5.1 S. 2011 mit Hinweisen; Urteil des Bundesgerichts 9C_396/2019, 9C_397/2019 vom 2. März 2020 E. 5.1 mit Hinweisen). Ferner ist aufgrund der Krankheitsüberzeugung der Be- schwerdeführerin (vgl. hierzu VB 222.3 S. 13 ff., 222.5 S. 26, 30, 32; 222.7 S. 44) ohnehin vom Fehlen der subjektiven Eingliederungsfähigkeit auszu- gehen, weshalb die Aufhebung der Invalidenrente ohne vorgängige Prü- fung beruflicher Massnahmen auch unter diesem Gesichtspunkt zulässig ist (vgl. Urteile des Bundesgerichts 9C_582/2015 vom 9. März 2016 E. 2.4, 8C_726/2015 vom 19. Januar 2016 E. 3.3). 6.2. Zusammenfassend ist die rentenaufhebende Verfügung vom 25. Mai 2022 (VB 270) damit im Ergebnis zu bestätigen.</w:t>
      </w:r>
    </w:p>
    <w:p>
      <w:r>
        <w:t>- 16 - 7.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7.3. Der Beschwerdeführerin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122 Abs. 1 lit. a ZPO i.V.m. § 34 Abs. 3 VRPG). 7.4. 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in der Höhe von Fr. 800.00 werden der Beschwerde- führerin auferlegt. Zufolge Bewilligung der unentgeltlichen Rechtspflege werden sie einstweilen vorgemerkt. 3. Es werden keine Parteientschädigungen zugesprochen. 4. Das Honorar der unentgeltlichen Rechtsvertreterin wird richterlich auf Fr. 2'450.00 festgesetzt.</w:t>
      </w:r>
    </w:p>
    <w:p>
      <w:r>
        <w:t>- 17 - Die Obergerichtskasse wird gestützt auf § 12 Anwaltstarif angewiesen, der unentgeltlichen Rechtsvertreterin der Beschwerdeführerin, Dr. iur. Monika Fehlmann, Rechtsanwältin, Brugg, nach Eintritt der Rechtskraft das Hono- rar von Fr. 2'450.00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August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