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VBE.2022.203 vom 30. September 2022</w:t>
      </w:r>
    </w:p>
    <w:p>
      <w:r>
        <w:t>Ag Versicherungsgericht, 2022-09-30, DE</w:t>
      </w:r>
    </w:p>
    <w:p>
      <w:r>
        <w:rPr>
          <w:b/>
        </w:rPr>
        <w:t xml:space="preserve">Quelle: </w:t>
      </w:r>
      <w:r>
        <w:t>https://mcp.opencaselaw.ch/entscheid/ag_versicherungsgericht_VBE.2022.203</w:t>
      </w:r>
    </w:p>
    <w:p>
      <w:r>
        <w:t>FR: AG_VERSICHERUNGSGERICHT VBE.2022.203 du 30 septembre 2022</w:t>
      </w:r>
    </w:p>
    <w:p>
      <w:r>
        <w:t>IT: AG_VERSICHERUNGSGERICHT VBE.2022.203 del 30 settembre 2022</w:t>
      </w:r>
    </w:p>
    <w:p>
      <w:pPr>
        <w:pStyle w:val="Heading2"/>
      </w:pPr>
      <w:r>
        <w:t>Erwägungen</w:t>
      </w:r>
    </w:p>
    <w:p>
      <w:r>
        <w:rPr>
          <w:b/>
        </w:rPr>
        <w:t>E. 1</w:t>
      </w:r>
    </w:p>
    <w:p>
      <w:r>
        <w:t>Kammer VBE.2022.203 / ms / fi Art. 102 Urteil vom 30. September 2022 Besetzung Oberrichter Kathriner, Präsident Oberrichterin Schircks Denzler Oberrichterin Fischer Gerichtsschreiber Schweizer Beschwerde- A._____ führer vertreten durch MLaw Jonas Steiner, Rechtsanwalt, Buchserstrasse 18, Postfach, 5001 Aarau 1 Beschwerde- SVA Aargau, IV-Stelle, Bahnhofplatz 3C, Postfach, 5001 Aarau gegnerin Gegenstand Beschwerdeverfahren betreffend IVG allgemein; berufliche Massnahmen (Verfügung vom 22. April 2022)</w:t>
      </w:r>
    </w:p>
    <w:p>
      <w:r>
        <w:t>- 2 - Das Versicherungsgericht entnimmt den Akten:</w:t>
      </w:r>
    </w:p>
    <w:p>
      <w:r>
        <w:rPr>
          <w:b/>
        </w:rPr>
        <w:t>E. 1.1</w:t>
      </w:r>
    </w:p>
    <w:p>
      <w:r>
        <w:t>Verwaltungsverfügungen sind nicht ausschliesslich aufgrund ihres Wort- lauts, sondern nach ihrem tatsächlichen rechtlichen Gehalt zu verstehen (vgl. BGE 141 V 255 E. 1.2 S. 257 mit Hinweisen unter anderem auf BGE 120 V 497 E. 1a S. 497 f.). Insoweit kommt – vorbehältlich des Prin- zips des Vertrauensschutzes – dem Wortlaut und dem formalen Erschei- nungsbild nicht eine letztlich entscheidende Bedeutung zu (SVR 2004 ALV Nr. 16, C 266/03 E. 3.1; vgl. auch UELI KIESER, Kommentar zum Bundes- gesetz über den Allgemeinen Teil des Sozialversicherungsrechts, 4. Aufl. 2020, N. 12 zu Art. 49 ATSG).</w:t>
      </w:r>
    </w:p>
    <w:p>
      <w:r>
        <w:rPr>
          <w:b/>
        </w:rPr>
        <w:t>E. 1.2</w:t>
      </w:r>
    </w:p>
    <w:p>
      <w:r>
        <w:t>In der angefochtenen Verfügung vom 22. April 2022 (Vernehmlassungsbei- lage [VB] 106) hielt die Beschwerdegegnerin im Dispositiv unter "Wir ver- fügen:" fest, das Leistungsbegehren werde abgewiesen. Der Betreff der Verfügung lautet sodann "Kein Anspruch auf berufliche Massnahmen" (VB 106 S. 1). Unter "Erwägung" hielt die Beschwerdegegnerin jedoch fest, aufgrund der Schilderungen des Beschwerdeführers im Einwand vom 19. Januar 2022 seien die Abklärungen nochmals aufgenommen und die erhaltenen medizinischen Unterlagen vom RAD gewürdigt worden. Als "Schlussfolgerung" hielt die Beschwerdegegnerin sodann fest, aufgrund der neuen Sachlage ergebe sich ein Umschulungsanspruch. Es werde diesbezüglich auf die separat zugestellte Mitteilung verwiesen. Hinsichtlich allfälliger weiterer Leistungsansprüche, werde der Beschwerdeführer zu gegebener Zeit einen separaten Entscheid erhalten (VB 106 S. 2). Mit Mitteilung (ebenfalls) vom 22. April 2022 hielt die Beschwerdegegnerin fest, sie übernehme die Kosten für Berufsberatung und Abklärung der be- ruflichen Eingliederungsmöglichkeiten des Beschwerdeführers durch ihre Berufsberatung (VB 107 S. 1).</w:t>
      </w:r>
    </w:p>
    <w:p>
      <w:r>
        <w:t>- 4 -</w:t>
      </w:r>
    </w:p>
    <w:p>
      <w:r>
        <w:rPr>
          <w:b/>
        </w:rPr>
        <w:t>E. 1.3</w:t>
      </w:r>
    </w:p>
    <w:p>
      <w:r>
        <w:t>In der Vernehmlassung führte die Beschwerdegegnerin aus, im Dispositiv der Verfügung sei "klar ersichtlich" gewesen, dass die Einwände gutgeheis- sen würden und ein Anspruch auf berufliche Massnahmen bestehe (vgl. Vernehmlassung S. 2). Hierzu ist festzuhalten, dass nicht aus dem Dispositiv, sondern aus der Be- gründung der Verfügung klar ersichtlich ist, dass ein Anspruch auf berufli- che Massnahmen anerkannt wurde (vgl. VB 106 S. 2), was auch aus der gleichentags erlassenen Mitteilung hervorgeht (vgl. VB 107). Dies ist recht- lich relevant und nicht das irrtümlich gegenteilig formulierte Dispositiv (vgl. etwa Urteile des Bundesgerichts 9C_777/2019 vom 24. November 2020 E. 5.2 [in BGE 147 V 73 nicht publizierte Erwägung]; 9C_76/2020 vom 1. Mai 2020 E. 3.; 9C_727/2010 vom 27. Januar 2012 E. 2.2). Da der Beschwerdeführer vorliegend einzig um Zusprache von beruflichen Massnahmen ersucht (vgl. Rechtsbegehren Ziff. 2), fehlt es an einem schutzwürdigen Interesse im Sinne von Art. 59 ATSG. Auf die Beschwerde ist folglich nicht einzutreten.</w:t>
      </w:r>
    </w:p>
    <w:p>
      <w:r>
        <w:rPr>
          <w:b/>
        </w:rPr>
        <w:t>E. 2</w:t>
      </w:r>
    </w:p>
    <w:p>
      <w:r>
        <w:t>Die Verfahrenskosten von Fr. 400.00 werden der Beschwerdegegnerin auf- erlegt.</w:t>
      </w:r>
    </w:p>
    <w:p>
      <w:r>
        <w:rPr>
          <w:b/>
        </w:rPr>
        <w:t>E. 2.1</w:t>
      </w:r>
    </w:p>
    <w:p>
      <w:r>
        <w:t>Nach dem Dargelegten ist auf die Beschwerde nicht einzutreten.</w:t>
      </w:r>
    </w:p>
    <w:p>
      <w:r>
        <w:rPr>
          <w:b/>
        </w:rPr>
        <w:t>E. 2.2</w:t>
      </w:r>
    </w:p>
    <w:p>
      <w:r>
        <w:t>Gemäss Art. 69 Abs. 1bis IVG ist das Verfahren kostenpflichtig. Die Kosten werden nach dem Verfahrensaufwand und unabhängig vom Streitwert im Rahmen von Fr. 200.00 bis Fr. 1'000.00 festgesetzt. Für das vorliegende Verfahren betragen diese Fr. 400.00. Sie wären gemäss dem Verfahrens- ausgang dem Beschwerdeführer aufzuerlegen. Da es jedoch erst aufgrund der widersprüchlichen Formulierung der Verfügung durch die Beschwerde- gegnerin zum vorliegenden Verfahren kam, sind ihr die Verfahrenskosten gestützt auf das Verursacherprinzip (vgl. hierzu THOMAS ACKERMANN, Ver- fahrenskosten in der Sozialversicherung, in: Ueli Kieser, Sozialversiche- rungsrechtstagung 2013, S. 216) aufzuerlegen.</w:t>
      </w:r>
    </w:p>
    <w:p>
      <w:r>
        <w:rPr>
          <w:b/>
        </w:rPr>
        <w:t>E. 2.3</w:t>
      </w:r>
    </w:p>
    <w:p>
      <w:r>
        <w:t>Dem Beschwerdeführer würde nach dem Ausgang des Verfahrens (Art. 61 lit. g ATSG) eigentlich keine Parteientschädigung zustehen. In An- wendung des Verursacherprinzips ist die Beschwerdegegnerin jedoch zu verpflichten, dem Beschwerdeführer die Parteikosten in richterlich festge- setzter Höhe von Fr. 1'500.00 zu bezahlen (vgl. Urteil des Bundesge- richts 9C_39/2020 vom 9. Oktober 2020 E. 2.2. mit Hinweisen).</w:t>
      </w:r>
    </w:p>
    <w:p>
      <w:r>
        <w:t>- 5 - Das Versicherungsgericht erkennt: 1. Auf die Beschwerde wird nicht eingetreten.</w:t>
      </w:r>
    </w:p>
    <w:p>
      <w:r>
        <w:rPr>
          <w:b/>
        </w:rPr>
        <w:t>E. 3</w:t>
      </w:r>
    </w:p>
    <w:p>
      <w:r>
        <w:t>Die Beschwerdegegnerin wird verpflichtet, dem Beschwerdeführer die Par- teikosten in richterlich festgesetzter Höhe von Fr. 1'500.00 zu bezahlen. Zustellung an: den Beschwerdeführer (Vertreter; 2-fach) die Beschwerdegegnerin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- 6 - Aarau, 30. September 2022 Versicherungsgericht des Kantons Aargau 1. Kammer Der Präsident: Der Gerichtsschreiber: Kathriner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