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VBE.2022.148 vom 21. Dezember 2022</w:t>
      </w:r>
    </w:p>
    <w:p>
      <w:r>
        <w:t>Ag Versicherungsgericht, 2022-12-21, DE</w:t>
      </w:r>
    </w:p>
    <w:p>
      <w:r>
        <w:rPr>
          <w:b/>
        </w:rPr>
        <w:t xml:space="preserve">Quelle: </w:t>
      </w:r>
      <w:r>
        <w:t>https://mcp.opencaselaw.ch/entscheid/ag_versicherungsgericht_VBE.2022.148</w:t>
      </w:r>
    </w:p>
    <w:p>
      <w:r>
        <w:t>FR: AG_VERSICHERUNGSGERICHT VBE.2022.148 du 21 décembre 2022</w:t>
      </w:r>
    </w:p>
    <w:p>
      <w:r>
        <w:t>IT: AG_VERSICHERUNGSGERICHT VBE.2022.148 del 21 dicembre 2022</w:t>
      </w:r>
    </w:p>
    <w:p>
      <w:pPr>
        <w:pStyle w:val="Heading2"/>
      </w:pPr>
      <w:r>
        <w:t>Erwägungen</w:t>
      </w:r>
    </w:p>
    <w:p>
      <w:r>
        <w:rPr>
          <w:b/>
        </w:rPr>
        <w:t>E. 4</w:t>
      </w:r>
    </w:p>
    <w:p>
      <w:r>
        <w:t>Eventualiter seien weitere Abklärungen zur Ermittlung des Sachver- halts durch die Beschwerdegegnerin durchzuführen. Unter Kosten- und Entschädigungsfolge zulasten der Beschwerde- gegnerin." 2.2. Mit Vernehmlassung vom 29. Juni 2022 beantragte die Beschwerdegegne- rin die Abweisung der Beschwerde. Das Versicherungsgericht zieht in Erwägung: 1. Im angefochtenen Einspracheentscheid vom 25. März 2022 (Vernehmlas- sungsbeilage [VB] 174; vgl. auch die diesem zu Grunde liegende Mitteilung vom 20. August 2021 [VB 133] sowie die Verfügung vom 12. November</w:t>
      </w:r>
    </w:p>
    <w:p>
      <w:r>
        <w:t>- 3 - 2021 [VB 147]) nahm die Beschwerdegegnerin sinngemäss den Fallab- schluss per 30. September 2021 vor. Weiter verneinte sie einen Rentenan- spruch mit der Begründung, für die subjektiven/psychischen Beschwerden bestehe mangels eines adäquaten Kausalzusammenhangs zum Unfaller- eignis vom 15. April 2020 keine (weitere) Leistungspflicht. Unter Berück- sichtigung der organisch objektivierbaren Unfallfolgen sei der Beschwerde- führer in einer angepassten Tätigkeit zu 100 % arbeitsfähig und damit in der Lage, ein 7.3 % unter dem Valideneinkommen liegendes und folglich rentenausschliessendes Salär zu erzielen. Aufgrund der verbleibenden un- fallbedingten schmerzhaften Funktionsstörung des linken Schultergelenks bei leichter beginnender Omarthrose links bestehe Anspruch auf eine In- tegritätsentschädigung von 15 % (VB 174 S. 3 ff.). Demgegenüber bringt der Beschwerdeführer im Wesentlichen vor, vom In- valideneinkommen sei ein leidensbedingter Abzug von mindestens 10 % vorzunehmen, womit sich ein Anspruch auf eine Invalidenrente ergebe. Weiter sei die Integritätsentschädigung gestützt auf die Beurteilung seines behandelnden Arztes mit 25 % zu bemessen (Beschwerde S. 6 ff.). Strittig und zu prüfen ist demnach, ob die Beschwerdegegnerin mit Ein- spracheentscheid vom 25. März 2022 zu Recht einen Anspruch des Be- schwerdeführers auf eine Invalidenrente verneint und diesem (bloss) eine Integritätsentschädigung von 15 % zugesprochen hat. 2. 2.1. In medizinischer Hinsicht stützte sich die Beschwerdegegnerin im ange- fochtenen Einspracheentscheid (VB 174) im Wesentlichen auf den Bericht von Kreisarzt med. pract. B., Facharzt für Chirurgie, zur kreisärztlichen Untersuchung vom 19. August 2021 (VB 127) sowie dessen "Beurteilung des Integritätsschadens" vom nämlichen Datum (VB 128). Dieser stellte folgende Diagnosen (VB 127 S. 5): "Chronisches Schmerzsyndrom und eingeschränkte Beweglichkeit des lin- ken Schultergelenkes bei - St. n. Capsulitis adhäsiva Schulter links bei - St. n. Schultergelenksarthroskopie und arthroskopisch assistierte Supraspinatussehnen-Rekonstruktion sowie V-Shape-Tenodese der langen Bizepssehne sowie subacromiale Dekompression Schul- ter links am 25.06.2020 bei - transmuraler Supraspinatussehnenruptur, Auffaserung craniale Subscapularissehnenanteile und Tendinopathie sowie Luxation der langen Bizepssehne nach einem Trauma vom 15.04.2020 Karpaltunnelsyndrom links". Es handle sich von chirurgischer Seite aktuell um einen medizinisch stabi- len Zustand. Von weiteren Behandlungen sei aus unfallchirurgischer Sicht nicht mit überwiegender Wahrscheinlichkeit eine namhafte Besserung des</w:t>
      </w:r>
    </w:p>
    <w:p>
      <w:r>
        <w:t>- 4 - unfallbedingten Gesundheitszustandes zu erwarten. Die zuletzt ausgeübte berufliche Tätigkeit als Fenstermonteur sei für den Beschwerdeführer nicht geeignet. In einer angepassten leichten bis mittelschweren Tätigkeit sei un- ter folgenden Voraussetzungen eine ganztägige Arbeitsfähigkeit gegeben: Keine Tätigkeiten, welche mit Schlägen und/oder Vibrationen für die linke obere Extremität verbunden seien, höchstens mittelschweres Tragen und Heben bis Lendenniveau und höchstens leichte und keine repetitiven Tä- tigkeiten bis Schulterniveau, keine Überkopfarbeiten, kein Tragen/Heben sowie Bewegen von mittelschweren bis schweren Lasten mit Hubwagen ohne "Eigenbetrieb" sowie aus Sicherheitsgründen auch keine Gerüstar- beiten und kein Besteigen von Leitern. Ansonsten würden keine anderen Einschränkungen bestehen, insbesondere nicht zeitlicher Natur (VB 127 S. 6). Die schmerzhafte Funktionsstörung des linken Schultergelenks bei leichter beginnender Omarthrose stelle eine Integritätseinbusse von 15 % dar (VB 128 S. 1). 2.2. Die Beurteilung der aus dem Unfall resultierenden somatischen Beeinträch- tigungen und der dadurch bedingten Arbeits(un)fähigkeit durch Kreisarzt med. pract. B. vom 19. August 2021 (VB 127) erfüllt die gesetzlichen und rechtsprechungsgemässen Anforderungen an eine beweiskräftige ärztliche Beurteilung (vgl. BGE 134 V 231 E. 5.1 S. 232; 125 V 351 E. 3a S. 352) und ist in medizinischer Hinsicht umfassend, was auch unter den Parteien (zu Recht) nicht umstritten ist. Es ist deshalb bei der Beurteilung des Rentenanspruchs des Beschwerdeführers auf die von Kreisarzt med. pract. B. attestierte Arbeitsfähigkeit abzustellen. 3. 3.1.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Für den Einkommensvergleich sind die Verhältnisse im Zeitpunkt des Be- ginns des Rentenanspruchs massgebend. Allfällige rentenwirksame Ände- rungen der Vergleichseinkommen sind bis zum Einspracheentscheid zu be- rücksichtigen (BGE 143 V 295 E. 4.1.3 S. 300 mit Hinweisen). 3.2. Im angefochtenen Einspracheentscheid zog die Beschwerdegegnerin zwecks Bestimmung des Validen- und des Invalideneinkommens die Ta- bellenlöhne der schweizerischen Lohnstrukturerhebung (LSE) des Jahres</w:t>
      </w:r>
    </w:p>
    <w:p>
      <w:r>
        <w:t>- 5 - 2018 des Bundesamtes für Statistik (BFS) heran (VB 174 S. 8 f.; vgl. auch VB 147 S. 2; 144 S. 1 f.) und gewährte bei der Festsetzung des Invaliden- einkommens einen leidensbedingten Abzug in der Höhe von 5 %. Aus dem Vergleich des Valideneinkommens von Fr. 70'703.00 mit dem Invalidenein- kommen von Fr. 65'542.90 errechnete die Beschwerdegegnerin einen ren- tenausschliessenden Invaliditätsgrad von 7.3 % (VB 174 S. 8 f.). 3.3. 3.3.1. Der Beschwerdeführer bringt bezüglich der Invaliditätsbemessung einzig vor, der von der Beschwerdegegnerin gewährte Tabellenlohnabzug sei zu niedrig. Aufgrund seiner gesundheitlichen Einschränkungen stehe ihm nur noch eine stark begrenzte Auswahl an Verweistätigkeiten offen. Zudem verfüge er über keine anerkannte Berufsausbildung und habe seit 1990, mithin mehr als 30 Jahren, in der körperlich schweren Tätigkeit als Fens- termonteur gearbeitet und könne nun keine schweren Arbeiten mehr aus- führen. Es sei daher vom Invalideneinkommen ein leidensbedingter Abzug von mindestens 10 % vorzunehmen (Beschwerde S. 9 ff.). 3.3.2.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 3.3.3. Bezüglich der gesundheitlichen Einschränkungen ist darauf hinzuweisen, dass der beschränkten Belastbarkeit der linken Schulter sowie dem Belas- tungsprofil (keine Tätigkeiten in Verbindung mit Schlägen und/oder Vibra- tionen für die linke obere Extremität, höchstens mittelschweres Tragen und Heben bis Lendenniveau und höchstens leichte und keine repetitiven Tä- tigkeiten bis Schulterniveau, keine Überkopfarbeiten und kein Tragen/He-</w:t>
      </w:r>
    </w:p>
    <w:p>
      <w:r>
        <w:t>- 6 - ben sowie Bewegen von mittelschweren bis schweren Lasten mit Hub- wagen ohne elektrischen Antrieb; vgl. VB 127 S. 6), bereits mit der Einstu- fung im Kompetenzniveau 1 Rechnung getragen wurde (vgl. hierzu Urteil des Bundesgerichts 8C_48/2021 vom 20. Mai 2021 E. 4.3.4 mit Hinwei- sen). Diesbezüglich gilt es insbesondere auch zu beachten, dass die ge- sundheitlich bedingte Unmöglichkeit, körperlich schwere Arbeit zu verrich- ten, nicht automatisch zu einem (höheren) leidensbedingten Abzug führt. Sodann sind dem Beschwerdeführer dem definierten Belastungsprofil ent- sprechende Tätigkeiten in einem vollen Pensum ohne Leistungseinschrän- kung zumutbar (vgl. VB 127 S. 6). Dass dem Beschwerdeführer ausserdem keine Gerüstarbeiten und kein Besteigen von Leitern möglich ist, vermag das Spektrum der zumutbaren Verweisungstätigkeiten nicht derart einzu- schränken, dass sich diesbezüglich ein leidensbedingter Abzug aufdrän- gen würde. Auch begründet eine fehlende Berufsausbildung regelmässig keinen Ab- zug vom Tabellenlohn, da dieser Umstand ebenfalls bereits mit der Eintei- lung in das niedrigste Kompetenzniveau 1 der LSE berücksichtigt wurde (vgl. Urteil des Bundesgerichts 9C_702/2020 vom 1. Februar 2021 E. 6.3.2 mit Hinweisen). Weitere Merkmale, welche einen Abzug rechtfertigen wür- den, sind nicht ersichtlich und werden vom Beschwerdeführer auch nicht dargetan. Es scheint daher fraglich, ob der von der Beschwerdegegnerin gewährte Abzug von 5 % überhaupt gerechtfertigt ist. Da aber selbst bei einem 10%igen Abzug noch ein Invalideneinkommen resultieren würde (Fr. 65'542.9 / 95 x 90 = Fr. 62'093.27), aufgrund dessen sich kein Renten- anspruch ergäbe, wie nachfolgend aufzuzeigen ist, kann dies offenbleiben. 3.4. Die Beschwerdegegnerin ermittelte nicht nur das Invaliden-, sondern auch das von ihr auf Fr. 70'703.00 festgesetzte Valideneinkommen gestützt auf die Tabellenlöhne der LSE (vgl. VB 147 S. 2; 144 S. 2). Vorliegend musste der Beschwerdeführer seine selbständige Tätigkeit als Fenstermonteur unbestrittenermassen aufgrund der unfallbedingten Be- schwerden aufgeben. Dies rechtfertigt jedoch entgegen der Beschwerde- gegnerin (vgl. VB 147 S. 2) noch keine Anwendung der Tabellenlöhne, son- dern das Valideneinkommen ist grundsätzlich anhand des zuletzt erzielten Verdienstes zu bemessen, da erfahrungsgemäss die bisherige Tätigkeit ohne Gesundheitsschaden fortgesetzt worden wäre (vgl. hierzu BGE 135 V 58 E. 3.1 S. 59; vgl. auch BGE 135 V 297 E. 5.1 S. 300 f., 134 V 322 E. 4.1 S. 325 f. und 129 V 222 E. 4.3.1 S. 224). Bei Selbständigerwerben- den wird das Valideneinkommen grundsätzlich auf der Basis der Einträge im Individuellen Konto (IK-Auszug) bestimmt (vgl. Urteil des Bundesge-</w:t>
      </w:r>
    </w:p>
    <w:p>
      <w:r>
        <w:t>- 7 - richts 9C_413/2017 vom 19. September 2017 E. 3.2.2). Der Beschwerde- führer erzielte gemäss IK-Auszug in den fünf Jahren vor dem Unfall ein Einkommen von jeweils jährlich Fr. 63'600.00 (vgl. VB 89 S. 4), womit ge- nügend konkrete Angaben für die Bestimmung des Valideneinkommens vorliegen. Folglich ist das Valideneinkommen auf Fr. 63'600.00 festzu- setzen. Damit würde selbst bei Gewährung eines 10%igen leidensbedingten Ab- zugs vom Invalideneinkommen (vgl. E. 3.3.3. hiervor) kein rentenbegrün- dender (vgl. Art. 18 Abs. 1 UVG) Invaliditätsgrad erreicht ([Fr. 63'600.00 – Fr. 62'093.27] / Fr. 63'600.00 x 100 = 2.4 %). Die Beschwerdegegnerin hat einen Anspruch des Beschwerdeführers auf eine Invalidenrente somit im Ergebnis zu Recht verneint.</w:t>
      </w:r>
    </w:p>
    <w:p>
      <w:r>
        <w:rPr>
          <w:b/>
        </w:rPr>
        <w:t>E. 4.1</w:t>
      </w:r>
    </w:p>
    <w:p>
      <w:r>
        <w:t>Zu prüfen bleibt die Höhe der Integritätsentschädigung.</w:t>
      </w:r>
    </w:p>
    <w:p>
      <w:r>
        <w:rPr>
          <w:b/>
        </w:rPr>
        <w:t>E. 4.2</w:t>
      </w:r>
    </w:p>
    <w:p>
      <w:r>
        <w:t>Gemäss Art. 36 Abs. 1 UVV gilt ein Integritätsschaden als dauernd, wenn er voraussichtlich während des ganzen Lebens mindestens im gleichen Umfang besteht. Er ist erheblich, wenn die körperliche, geistige oder psy- chische Integrität, unabhängig von der Erwerbsfähigkeit, augenfällig oder stark beeinträchtigt wird (vgl. auch BGE 133 V 224 E. 2.2 S. 227 mit Hin- weis auf BGE 124 V 29 und 124 V 209). Die Schädigung ist erheblich, so- bald sie die Schwelle von 5 % erreicht (GUSTAVO SCARTAZZINI, Neuere Fra- gen zur Integritätsentschädigung, SZS 2007 S. 292; Ziff. 1 Abs. 3 des An- hangs 3 zur UVV; vgl. auch BGE 116 V 156 E. 3b S. 157). 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(RUMO-JUNGO/HOLZER, Schweizerisches Unfallversicherungs- recht, 4. Aufl., Zürich/Basel/Genf 2012, S. 166 mit Hinweisen).</w:t>
      </w:r>
    </w:p>
    <w:p>
      <w:r>
        <w:rPr>
          <w:b/>
        </w:rPr>
        <w:t>E. 4.3.1</w:t>
      </w:r>
    </w:p>
    <w:p>
      <w:r>
        <w:t>Die Beschwerdegegnerin sprach dem Beschwerdeführer gestützt auf die Beurteilung von Kreisarzt med. pract. B., wonach die schmerzhafte Funktionsstörung des linken Schultergelenkes (Beweglichkeit bis zur Hori- zontalen) bei leichter beginnender Omarthrose links eine Integritätsein- busse in der Höhe von 15 % darstelle (VB 128), sowie in Anwendung der</w:t>
      </w:r>
    </w:p>
    <w:p>
      <w:r>
        <w:t>- 8 - SUVA-Tabelle 1.2 für Integritätsschäden bei Funktionsstörungen an den oberen Extremitäten (Schulter bis zur Horizontalen beweglich) eine Integri- tätsentschädigung von 15 % zu (VB 174 S. 9 ff.).</w:t>
      </w:r>
    </w:p>
    <w:p>
      <w:r>
        <w:rPr>
          <w:b/>
        </w:rPr>
        <w:t>E. 4.3.2</w:t>
      </w:r>
    </w:p>
    <w:p>
      <w:r>
        <w:t>Demgegenüber macht der Beschwerdeführer unter Hinweis auf den von ihm im Rahmen des Einspracheverfahrens eingereichten Bericht von Dr. med. C., Facharzt für Orthopädische Chirurgie und Traumatologie des Bewegungsapparates, vom 20. Dezember 2021 (VB 162; 163 S. 1 f.) geltend, es bestehe eine schwere Form einer Periarthrosis humeroscapula- ris. Die Integritätsentschädigung sei deshalb auf 25 % festzusetzen (vgl. Beschwerde S. 6 ff.).</w:t>
      </w:r>
    </w:p>
    <w:p>
      <w:r>
        <w:rPr>
          <w:b/>
        </w:rPr>
        <w:t>E. 4.4</w:t>
      </w:r>
    </w:p>
    <w:p>
      <w:r>
        <w:t>Im Bericht vom 20. Dezember 2021 stellte Dr. med. C. im Wesentlichen eine eingeschränkte glenohumerale Beweglichkeit links fest (vgl. VB 163 S. 1 f.), was sich mit der Beurteilung von Kreisarzt med. pract. B. deckt (VB 127 S. 4 f.). Dem Bericht von Dr. med. C. lässt sich – entgegen den entsprechenden Ausführungen des Beschwerdeführers – nicht entnehmen, dass eine schwere Form einer Periarthrosis humeroscapularis vorliegen würde. So stellte Dr. med. C. gestützt auf die radiologische Diagnostik einzig fest, es würde eine beginnende osteophytäre Ausziehung im Sinne einer degenerativen Problematik vorliegen (VB 163 S. 2). Von weiteren degenerativen Befunden berichtete er nicht. Es bleibt daher unklar, was Dr. med. C. mit der Beurteilung "der Integritätsentschädigung auf eine schwere Form" (vgl. VB 163 S. 2) überhaupt gemeint hatte. Zudem nahm er keinen Bezug auf die massgebende SUVA-Tabelle 1.2 (vgl. E. 4.3.1.) und setzte die Integritätseinbusse auch nicht ziffernmässig fest, sondern führte vielmehr aus, der entsprechende Entscheid liege bei der Beschwerdegegnerin (vgl. VB 163 S. 2). Schliesslich stellte Kreisarzt med. pract. B. ebenfalls eine beginnende Omarthrose links fest und wies darauf hin, dass bei einer Zunahme die Höhe des Integritätsschadens erneut zu evaluieren und gegebenenfalls anzupassen sei (vgl. VB 128 S. 1). Die Beurteilung von Kreisarzt med. pract. B. ist vor dem Hintergrund der aktenkundigen Befunde an der linken Schulter bzw. der damit zu erklärenden unfallbedingten funktionellen Einschränkungen und mit Blick auf die SUVA-Tabelle 1.2 folglich nicht zu beanstanden, womit es bei der von der Beschwerdegegnerin zugesprochenen Integritätsentschädigung basierend auf einer Integritätseinbusse von 15 % bleibt.</w:t>
      </w:r>
    </w:p>
    <w:p>
      <w:r>
        <w:rPr>
          <w:b/>
        </w:rPr>
        <w:t>E. 5.1</w:t>
      </w:r>
    </w:p>
    <w:p>
      <w:r>
        <w:t>Nach dem Dargelegten erweist sich der Einspracheentscheid vom 25. März 2022 als rechtens; die dagegen erhobene Beschwerde ist abzuweisen.</w:t>
      </w:r>
    </w:p>
    <w:p>
      <w:r>
        <w:t>- 9 -</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Zustellung an: den Beschwerdeführer (Vertreter; 2-fach) die Beschwerdegegnerin (Vertreter; 2-fach) das Bundesamt für Gesundheit</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Dezember 2022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