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VBE.2022.146 vom 15. September 2022</w:t>
      </w:r>
    </w:p>
    <w:p>
      <w:r>
        <w:t>Ag Versicherungsgericht, 2022-09-15, DE</w:t>
      </w:r>
    </w:p>
    <w:p>
      <w:r>
        <w:rPr>
          <w:b/>
        </w:rPr>
        <w:t xml:space="preserve">Quelle: </w:t>
      </w:r>
      <w:r>
        <w:t>https://mcp.opencaselaw.ch/entscheid/ag_versicherungsgericht_VBE.2022.146</w:t>
      </w:r>
    </w:p>
    <w:p>
      <w:r>
        <w:t>FR: AG_VERSICHERUNGSGERICHT VBE.2022.146 du 15 septembre 2022</w:t>
      </w:r>
    </w:p>
    <w:p>
      <w:r>
        <w:t>IT: AG_VERSICHERUNGSGERICHT VBE.2022.146 del 15 settembre 2022</w:t>
      </w:r>
    </w:p>
    <w:p>
      <w:pPr>
        <w:pStyle w:val="Heading2"/>
      </w:pPr>
      <w:r>
        <w:t>Erwägungen</w:t>
      </w:r>
    </w:p>
    <w:p>
      <w:r>
        <w:rPr>
          <w:b/>
        </w:rPr>
        <w:t>E. 2</w:t>
      </w:r>
    </w:p>
    <w:p>
      <w:r>
        <w:t>Unter o/e-Kostenfolge."</w:t>
      </w:r>
    </w:p>
    <w:p>
      <w:r>
        <w:rPr>
          <w:b/>
        </w:rPr>
        <w:t>E. 2.1</w:t>
      </w:r>
    </w:p>
    <w:p>
      <w:r>
        <w:t>Nach Art. 27 Abs. 1 und 2 AVIG hat die versicherte Person u.a. Anspruch auf höchstens 260 Taggelder, wenn sie innerhalb der Rahmenfrist für die Beitragszeit (Art. 9 Abs. 3 AVIG) eine Beitragszeit von insgesamt 12 Mo- naten nachweisen kann (Abs. 2 lit. a) und auf höchstens 400 Taggelder, wenn sie eine Beitragszeit von insgesamt 18 Monaten nachweisen kann (Abs. 2 lit. b).</w:t>
      </w:r>
    </w:p>
    <w:p>
      <w:r>
        <w:t>- 3 -</w:t>
      </w:r>
    </w:p>
    <w:p>
      <w:r>
        <w:rPr>
          <w:b/>
        </w:rPr>
        <w:t>E. 2.2</w:t>
      </w:r>
    </w:p>
    <w:p>
      <w:r>
        <w:t>Der Rahmenvertrag allein begründet bei Personalverleih-Verhältnissen mit temporärem Einsatz in verschiedenen Einsatzbetrieben kein beitragsrecht- lich relevantes Arbeitsverhältnis. Es sind vielmehr nur diejenigen Arbeits- einsätze, die sich aus den einzelnen Einsatzverträgen mit je neuem Ar- beitsvertrag ergeben, zu berücksichtigen (Urteil des Bundesgerichts 8C_541/2020 vom 21. Dezember 2020 E. 4.1.).</w:t>
      </w:r>
    </w:p>
    <w:p>
      <w:r>
        <w:rPr>
          <w:b/>
        </w:rPr>
        <w:t>E. 3</w:t>
      </w:r>
    </w:p>
    <w:p>
      <w:r>
        <w:t>Während der Rahmenfrist für die Beitragszeit (Art. 9 Abs. 3 AVIG: 1. Sep- tember 2019 bis 31. August 2021) war der Beschwerdeführer vom 1. Feb- ruar 2020 bis 31. August 2021 bei einem Personalvermittler angestellt (Ar- beitgeberbescheinigung vom 14. September 2021, VB 171). Dabei leistete er ausweislich der Akten (Bestätigung des Personalvermittlers vom 16. März 2022, VB 48) und unbestrittenermassen (zum Rügeprinzip: BGE 119 V 347 E. 1a S. 349 f., 110 V 48 E. 4a S. 52 f.) vier Einsätze, mit denen er eine Beitragszeit von 16.307 Monaten erreichte (im Einzelnen vgl. Ein- spracheentscheid vom 17. März 2022, VB 45). Folglich anerkannte die Be- schwerdegegnerin einen Anspruch des Beschwerdeführers auf höchstens 260 Taggelder der Arbeitslosenversicherung (Einspracheentscheid vom 17. März 2022, VB 46).</w:t>
      </w:r>
    </w:p>
    <w:p>
      <w:r>
        <w:rPr>
          <w:b/>
        </w:rPr>
        <w:t>E. 4.1</w:t>
      </w:r>
    </w:p>
    <w:p>
      <w:r>
        <w:t>Vorab ist festzustellen, dass der Beschwerdeführer zu Recht nicht rügt, dass die Beschwerdeführerin die erwirtschaftete Beitragszeit anhand der vier geleisteten Einsätze und nicht gestützt auf die gesamte Anstellungs- dauer beim Personalvermittler berechnete. Er macht allerdings geltend, eine weiterführende bzw. lückenlose Beschäftigung sei wegen der Pande- mie (COVID-19) nicht möglich gewesen, was eine unverschuldete Nichtbe- schäftigung darstelle. Art. 13 Abs. 2 AVIG enthalte eine Lücke, was den Arbeitsausfall aufgrund einer Pandemie betreffe, die zu füllen sei.</w:t>
      </w:r>
    </w:p>
    <w:p>
      <w:r>
        <w:rPr>
          <w:b/>
        </w:rPr>
        <w:t>E. 4.2</w:t>
      </w:r>
    </w:p>
    <w:p>
      <w:r>
        <w:t>Art. 13 Abs. 2 AVIG regelt verschiedene Sachverhalte, die zusätzliche Bei- tragszeiten generieren, z.B. Arbeitsunterbrüche wegen Militär-, Zivil- und Schutzdienst (lit. b) oder Mutterschaft (lit. d). Die behördlichen Anordnungen zur Niederlegung der Arbeit während der Pandemiezeit trafen nur vereinzelte Wirtschaftszweige. So ist nicht ersicht- lich und wird auch vom Beschwerdeführer nicht behauptet, dass weitere Arbeitseinsätze wie die zuvor von ihm bei der B. und bei den C. getätigten (VB 195 ff.) aufgrund behördlicher Anordnungen pandemiebedingt unter- sagt und damit nicht möglich gewesen wären. Eine planwidrige Unvollstän- digkeit des Gesetzes ist sodann nicht erkennbar. Der Gesetzgeber schuf zur Linderung der wirtschaftlichen Pandemiefolgen andere Instrumente. Im</w:t>
      </w:r>
    </w:p>
    <w:p>
      <w:r>
        <w:t>- 4 - Bereich der Arbeitslosenversicherung wurden u.a. die Rahmenfrist für den Leistungsbezug verlängert, zusätzliche Ansprüche auf Taggeldleistungen und Erleichterungen bei der Kurzarbeitsentschädigung eingeführt (im Ein- zelnen vgl. diverse Fassungen der Verordnung über Massnahmen im Be- reich der Arbeitslosenversicherung im Zusammenhang mit dem Coronavi- rus [Covid-19], SR.837.033).</w:t>
      </w:r>
    </w:p>
    <w:p>
      <w:r>
        <w:rPr>
          <w:b/>
        </w:rPr>
        <w:t>E. 4.3</w:t>
      </w:r>
    </w:p>
    <w:p>
      <w:r>
        <w:t>Weiter bringt der Beschwerdeführer vor, der Arbeitgeber hätte die Möglich- keit gehabt, Kurzarbeitsentschädigung zu beantragen. Dessen Versäumnis dürfe ihm nicht zum Nachteil gereichen. Befinde sich der Arbeitgeber im Verzug, sei die ausfallende Zeit als Beitragszeit zu berücksichtigen. Bei dieser Argumentation wird übersehen, dass Personalvermittler für ihre Angestellten keinen Anspruch auf Kurzarbeitsentschädigung geltend ma- chen können. Dies, weil Arbeitsausfälle zwischen den Einsätzen branchen- üblich sind, mithin gemäss Art. 33 Abs. 1 lit. b AVIG kein anrechenbarer Arbeitsausfall entsteht (BGE 119 V 357 E. 3a S. 361), der aber nach Art. 31 Abs. 1 lit. b AVIG eine Anspruchsvoraussetzung für eine Kurzarbeitsent- schädigung ist.</w:t>
      </w:r>
    </w:p>
    <w:p>
      <w:r>
        <w:rPr>
          <w:b/>
        </w:rPr>
        <w:t>E. 5.1</w:t>
      </w:r>
    </w:p>
    <w:p>
      <w:r>
        <w:t>Nach dem oben Ausgeführten legte die Beschwerdegegnerin richtiger- weise den Anspruch des Beschwerdeführers auf maximal 260 Taggelder fest. Folglich ist die Beschwerde abzuweisen.</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w:t>
      </w:r>
    </w:p>
    <w:p>
      <w:r>
        <w:t>- 5 - 2. Es werden keine Verfahrenskosten erhoben. 3. Es werden keine Parteientschädigungen zugesprochen. Zustellung an: den Beschwerdeführer (Vertreterin; 2-fach) die Beschwerdegegnerin das Staatssekretariat für Wirtschaft (seco) das Amt für Wirtschaft und Arbeit (AWA)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15. September 2022 Versicherungsgericht des Kantons Aargau 2. Kammer Die Präsidentin: Die Gerichtsschreiberin: Peterhans Reimann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