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VBE.2022.14 vom 5. Oktober 2022</w:t>
      </w:r>
    </w:p>
    <w:p>
      <w:r>
        <w:t>Ag Versicherungsgericht, 2022-10-05, DE</w:t>
      </w:r>
    </w:p>
    <w:p>
      <w:r>
        <w:rPr>
          <w:b/>
        </w:rPr>
        <w:t xml:space="preserve">Quelle: </w:t>
      </w:r>
      <w:r>
        <w:t>https://mcp.opencaselaw.ch/entscheid/ag_versicherungsgericht_VBE.2022.14</w:t>
      </w:r>
    </w:p>
    <w:p>
      <w:r>
        <w:t>FR: AG_VERSICHERUNGSGERICHT VBE.2022.14 du 5 octobre 2022</w:t>
      </w:r>
    </w:p>
    <w:p>
      <w:r>
        <w:t>IT: AG_VERSICHERUNGSGERICHT VBE.2022.14 del 5 ottobre 2022</w:t>
      </w:r>
    </w:p>
    <w:p>
      <w:pPr>
        <w:pStyle w:val="Heading2"/>
      </w:pPr>
      <w:r>
        <w:t>Erwägungen</w:t>
      </w:r>
    </w:p>
    <w:p>
      <w:r>
        <w:rPr>
          <w:b/>
        </w:rPr>
        <w:t>E. 2</w:t>
      </w:r>
    </w:p>
    <w:p>
      <w:r>
        <w:t>Eventualiter sei die Verfügung vom 1. Dezember 2021 aufzuheben und die Sache zu weiteren Abklärungen und zur Neuverfügung an die Beschwerdegegnerin zurückzuweisen.</w:t>
      </w:r>
    </w:p>
    <w:p>
      <w:r>
        <w:rPr>
          <w:b/>
        </w:rPr>
        <w:t>E. 2.1</w:t>
      </w:r>
    </w:p>
    <w:p>
      <w:r>
        <w:t>Am 17. Januar 2022 erhob der Beschwerdeführer innert der durch die Ge- richtsferien verlängerten Frist Beschwerde beim Versicherungsgericht des Kantons Aargau und beantragte Folgendes: "1. Die Verfügung vom 1. Dezember 2021 sei aufzuheben und es seien dem Beschwerdeführer die gesetzlichen Leistungen zuzusprechen.</w:t>
      </w:r>
    </w:p>
    <w:p>
      <w:r>
        <w:rPr>
          <w:b/>
        </w:rPr>
        <w:t>E. 2.2</w:t>
      </w:r>
    </w:p>
    <w:p>
      <w:r>
        <w:t>Die Beschwerdegegnerin beantragte mit Vernehmlassung vom 2. Februar 2022 die Abweisung der Beschwerde.</w:t>
      </w:r>
    </w:p>
    <w:p>
      <w:r>
        <w:t>- 3 -</w:t>
      </w:r>
    </w:p>
    <w:p>
      <w:r>
        <w:rPr>
          <w:b/>
        </w:rPr>
        <w:t>E. 2.3</w:t>
      </w:r>
    </w:p>
    <w:p>
      <w:r>
        <w:t>Mit Eingabe vom 7. Februar 2022 hielt der Beschwerdeführer an seinen Beschwerdeanträgen fest.</w:t>
      </w:r>
    </w:p>
    <w:p>
      <w:r>
        <w:rPr>
          <w:b/>
        </w:rPr>
        <w:t>E. 2.4</w:t>
      </w:r>
    </w:p>
    <w:p>
      <w:r>
        <w:t>Am 14. Februar 2022 bewilligte die Instruktionsrichterin dem Beschwerde- führer verfügungsweise die unentgeltliche Rechtspflege und ernannte Dr. iur. Pribnow, Rechtsanwalt in Baden, zu seinem unentgeltlichen Rechtsvertreter. Das Versicherungsgericht zieht in Erwägung: 1. Mit der angefochtenen Verfügung vom 1. Dezember 2021 wies die Be- schwerdegegnerin den Anspruch des Beschwerdeführers auf Hilflosenent- schädigung ab (Vernehmlassungsbeilage [VB] 185). Dabei stützte sie sich auf den Bericht vom 23. September 2021 über die Abklärung an Ort und Stelle vom 27. Juli 2021 (Abklärungsbericht; VB 178). Der Beschwerdefüh- rer bestreitet den Beweiswert des Abklärungsberichts. 2. Am 1. Januar 2022 trat das revidierte IVG in Kraft (Weiterentwicklung der IV [WEIV]; Änderung vom 19. Juni 2020, AS 2021 705, BBl 2017 2535). Die vorliegende Verfügung erging vor dem 1. Januar 2022. Nach den all- gemeinen Grundsätzen des intertemporalen Rechts und des zeitlich mass- gebenden Sachverhalts (statt vieler: BGE 144 V 210 E. 4.3.1; 129 V 354 E. 1 mit Hinweisen) sind daher die Bestimmungen des IVG und diejenigen der IVV sowie des ATSG in der bis 31. Dezember 2021 gültig gewesenen Fassung anwendbar.</w:t>
      </w:r>
    </w:p>
    <w:p>
      <w:r>
        <w:rPr>
          <w:b/>
        </w:rPr>
        <w:t>E. 3</w:t>
      </w:r>
    </w:p>
    <w:p>
      <w:r>
        <w:t>Unter Kosten- und Entschädigungsfolgen zulasten der Beklagten." Zudem stellte der Beschwerdeführer folgendes Gesuch: "4. Es sei dem Beschwerdeführer die unentgeltliche Rechtspflege zu gewähren und es sei der bevollmächtigte Rechtsanwalt als sein un- entgeltlicher Rechtsvertreter einzusetzen."</w:t>
      </w:r>
    </w:p>
    <w:p>
      <w:r>
        <w:rPr>
          <w:b/>
        </w:rPr>
        <w:t>E. 3.1.1</w:t>
      </w:r>
    </w:p>
    <w:p>
      <w:r>
        <w:t>Gemäss Art. 42 Abs. 1 Satz 1 IVG haben versicherte Personen mit Wohn- sitz und gewöhnlichem Aufenthalt in der Schweiz (Art. 13 ATSG), die hilflos sind (Art. 9 ATSG), Anspruch auf eine Hilflosenentschädigung. Als hilflos gilt eine Person, die wegen einer Beeinträchtigung der Gesundheit für all- tägliche Lebensverrichtungen dauernd der Hilfe Dritter oder der persönli- chen Überwachung bedarf (Art. 9 ATSG). Gemäss Art. 42 Abs. 3 IVG gilt als hilflos auch eine Person, welche zu Hause lebt und wegen der Beein- trächtigung der Gesundheit dauernd auf lebenspraktische Begleitung an- gewiesen ist (Satz 1).</w:t>
      </w:r>
    </w:p>
    <w:p>
      <w:r>
        <w:t>- 4 -</w:t>
      </w:r>
    </w:p>
    <w:p>
      <w:r>
        <w:rPr>
          <w:b/>
        </w:rPr>
        <w:t>E. 3.1.2</w:t>
      </w:r>
    </w:p>
    <w:p>
      <w:r>
        <w:t>Nach der Rechtsprechung ist bei der Erarbeitung der Grundlagen für die Bemessung der Hilflosigkeit eine enge, sich ergänzende Zusammenarbeit zwischen Arzt und Verwaltung erforderlich. Die Ärztin oder der Arzt hat an- zugeben, inwiefern die versicherte Person in ihren körperlichen bzw. geis- tigen Funktionen durch das Leiden eingeschränkt ist. Der Versicherungs- träger kann an Ort und Stelle weitere Abklärungen vornehmen (BGE 130 V 61 E. 6.1.1 S. 61 f.). Auf einen voll beweiskräftigen Abklärungsbericht ist zu erkennen, wenn als Berichterstatterin eine qualifizierte Person wirkt, welche Kenntnis der örtli- chen und räumlichen Verhältnisse sowie der aus den seitens der Mediziner gestellten Diagnosen sich ergebenden Beeinträchtigungen und Hilfsbedürf- tigkeiten hat. Bei Unklarheiten über physische oder psychische Störungen und/oder deren Auswirkungen auf alltägliche Lebensverrichtungen sind Rückfragen an die medizinische Fachperson nicht nur zulässig, sondern notwendig. Weiter sind die Angaben der Hilfe leistenden Person zu berück- sichtigen, wobei divergierende Meinungen der Beteiligten im Bericht aufzu- zeigen sind. Der Berichtstext muss schliesslich plausibel, begründet und detailliert bezüglich der einzelnen alltäglichen Lebensverrichtungen sowie den tatbeständlichen Erfordernissen der dauernden persönlichen Überwa- chung und der Pflege sein. Er hat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 sondere der Umstand, dass die fachlich kompetente Abklärungsperson nä- her am konkreten Sachverhalt ist als das im Beschwerdefall zuständige Gericht (BGE 140 V 542 E. 3.2.1 S. 547).</w:t>
      </w:r>
    </w:p>
    <w:p>
      <w:r>
        <w:rPr>
          <w:b/>
        </w:rPr>
        <w:t>E. 3.2</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132 V 93 E. 5.2.8 S. 105). Sie haben den Sach- verhalt soweit zu ermitteln, dass sie über den Leistungsanspruch zumin- dest mit dem Beweisgrad der überwiegenden Wahrscheinlichkeit entschei- den können (Urteil des Bundesgerichts 9C_777/2011 vom 3. Februar 2012 E. 2.1 mit Hinweis auf BGE 126 V 353 E. 5b S. 360). Rechtserheblich sind alle Tatsachen, von deren Vorliegen es abhängt, ob über den streitigen An- spruch so oder anders zu entscheiden ist. In diesem Rahmen haben Ver- waltungsbehörden und Sozialversicherungsgericht zusätzliche Abklärun- gen stets vorzunehmen oder zu veranlassen, wenn hierzu auf Grund der</w:t>
      </w:r>
    </w:p>
    <w:p>
      <w:r>
        <w:t>- 5 - Parteivorbringen oder anderer sich aus den Akten ergebender Anhalts- punkte hinreichender Anlass besteht (BGE 117 V 282 E. 4a S. 283).</w:t>
      </w:r>
    </w:p>
    <w:p>
      <w:r>
        <w:rPr>
          <w:b/>
        </w:rPr>
        <w:t>E. 4</w:t>
      </w:r>
    </w:p>
    <w:p>
      <w:r>
        <w:t>Am 27. Juli 2021 führte die Beschwerdegegnerin eine Abklärung an Ort und Stelle durch. Im Abklärungsbericht vom 23. September 2021 hielt die Fach- spezialistin A. fest, beim Beschwerdeführer liege bezüglich der alltäglichen Lebensverrichtungen keine Hilfsbedürftigkeit vor (VB 178 S. 2). In Bezug auf die lebenspraktische Begleitung hielt sie fest, der Beschwerdeführer bedürfe bei Fragen der Gesundheit, Ernährung und Hygiene sowie bei Rei- nigungsarbeiten einer Begleitung von je 30 Minuten pro Woche (Total: 60 Minuten) und bei Einkäufen einer solchen von 10 Minuten pro Woche. Ins- gesamt zeigte sich somit ein gesamter Zeitaufwand von 70 Minuten pro Woche (VB 178 S. 2 ff.) und damit weniger als zwei Stunden pro Woche, womit aufgrund des Abklärungsergebnisses die Voraussetzungen für einen Anspruch auf eine Hilflosenentschädigung (vgl. E. 3.1.) nicht erfüllt waren.</w:t>
      </w:r>
    </w:p>
    <w:p>
      <w:r>
        <w:rPr>
          <w:b/>
        </w:rPr>
        <w:t>E. 5</w:t>
      </w:r>
    </w:p>
    <w:p>
      <w:r>
        <w:t>Damit einem Abklärungsbericht Beweiswert zukommt, muss er insbeson- dere auf vollständigen und aktuellen medizinischen Grundlagen basieren, denn erst sie erlauben die umfassende Beurteilung der Beeinträchtigungen und Hilfsbedürftigkeit (vgl. E. 3.2.). Vorliegend beruht der Abklärungsbe- richt vom 23. September 2021 (VB 178) in medizinischer Hinsicht auf dem Bericht von Dr. med. C., Fachärztin für Psychiatrie und Psychotherapie, Q., vom 26. Mai 2021 (VB 173) und dem Austrittsbericht der Klinik D., R., vom 4. Juli 2021 (VB 176). Im Übrigen befinden sich in den Vernehmlassungs- beilagen nur medizinische Unterlagen aus dem Rentenverfahren, das mit dem Urteil des Bundesgerichts 8C_170/2017 vom 13. Oktober 2017 (VB 154) erledigt wurde. In jenem Verfahren war der Gesundheitszustand des Beschwerdeführers bis am 28. Juli 2016 zu beurteilen (Verfügungsda- tum als Ende des Beurteilungszeitraums, BGE 131 V 9 E. 1 S. 11, VB 154 S. 2). Dem Austrittsbericht der Klinik D. ist jedoch zu entnehmen, dass seit September 2020 in somatischer Hinsicht verschiedene Probleme aufgetre- ten waren (u.a. Frozen Shoulder, Karpaltunnelsyndrom bds, VB 176 S. 1). Dr. med. C. behandelt den Beschwerdeführer sodann erst seit dem 26. September 2020 (VB 173 S. 7). Wegen der seit Jahren bestehenden Symptomatik mit langjähriger psychiatrischer Behandlung empfahl sie der Beschwerdegegnerin, beim vorbehandelnden Psychiater sowie beim Am- bulatorium für Folter und Kriegsopfer entsprechende Berichte einzuholen (VB 173 S. 8). Dem kam die Beschwerdegegnerin nicht nach. Nach dem Dargelegten erweisen sich die medizinischen Unterlagen, auf welchen der Abklärungsbericht vom 23. September 2021 beruht, als unvoll- ständig, sodass diesem Bericht kein Beweiswert zukommt. Folglich ist die Streitsache an die Beschwerdegegnerin zurückzuweisen. In Nachachtung des Untersuchungsgrundsatzes von Art. 43 Abs. 1 ATSG (vgl. E. 3.2.) hat</w:t>
      </w:r>
    </w:p>
    <w:p>
      <w:r>
        <w:t>- 6 - sie die medizinischen Akten in somatischer und psychiatrischer Hinsicht zu vervollständigen, indem sie die Berichte der behandelnden Ärzte seit der letzten Beurteilung einholt. Danach sind diese dem RAD vorzulegen und eine erneute Abklärung an Ort und Stelle vorzunehmen. Im neu zu erstel- lenden Abklärungsbericht sind die Ausführungen des Vermieters und des- sen Partnerin, die den Beschwerdeführer unterstützen, zu berücksichtigen und divergierende Meinungen aufzuzeigen (vgl. E. 3.2.2.).</w:t>
      </w:r>
    </w:p>
    <w:p>
      <w:r>
        <w:rPr>
          <w:b/>
        </w:rPr>
        <w:t>E. 6.1</w:t>
      </w:r>
    </w:p>
    <w:p>
      <w:r>
        <w:t>Nach dem Dargelegten ist die Beschwerde in dem Sinne gutzuheissen, als die angefochtene Verfügung vom 1. Dezember 2021 aufzuheben und die Sache zur weiteren Abklärung im Sinne der Erwägungen und zur Neuver- fügung an die Beschwerdegegnerin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dem unentgeltlichen Rechtsvertreter zu bezahlen.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