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VBE.2021.97 vom 16. Februar 2024</w:t>
      </w:r>
    </w:p>
    <w:p>
      <w:r>
        <w:t>Ag Versicherungsgericht, 2024-02-16, DE</w:t>
      </w:r>
    </w:p>
    <w:p>
      <w:r>
        <w:rPr>
          <w:b/>
        </w:rPr>
        <w:t xml:space="preserve">Quelle: </w:t>
      </w:r>
      <w:r>
        <w:t>https://mcp.opencaselaw.ch/entscheid/ag_versicherungsgericht_VBE.2021.97</w:t>
      </w:r>
    </w:p>
    <w:p>
      <w:r>
        <w:t>FR: AG_VERSICHERUNGSGERICHT VBE.2021.97 du 16 février 2024</w:t>
      </w:r>
    </w:p>
    <w:p>
      <w:r>
        <w:t>IT: AG_VERSICHERUNGSGERICHT VBE.2021.97 del 16 febbraio 2024</w:t>
      </w:r>
    </w:p>
    <w:p>
      <w:pPr>
        <w:pStyle w:val="Heading2"/>
      </w:pPr>
      <w:r>
        <w:t>Erwägungen</w:t>
      </w:r>
    </w:p>
    <w:p>
      <w:r>
        <w:rPr>
          <w:b/>
        </w:rPr>
        <w:t>E. 4</w:t>
      </w:r>
    </w:p>
    <w:p>
      <w:r>
        <w:t>Aufl. 2020, N. 166 zu Art. 16 ATSG; vgl. jedoch Art. 18 Abs. 2 UVG).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w:t>
      </w:r>
    </w:p>
    <w:p>
      <w:r>
        <w:t>- 5 - (Valideneinkommen; Art. 16 ATSG; sogenannte allgemeine Methode des Einkommensvergleichs). 3. 3.1.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9C_488/2008 vom 5. September 2008 E. 6.4). Dabei wird in der Regel am zuletzt erzielten, nötigenfalls der Teue- rung und der realen Einkommensentwicklung angepassten Verdienst an- geknüpft, da erfahrungsgemäss die bisherige Tätigkeit ohne Gesundheits- schaden fortgesetzt worden wäre. Ausnahmen von diesem Erfahrungssatz müssen mit überwiegender Wahrscheinlichkeit erstellt sein (BGE 135 V 58 E. 3.1 S. 59; vgl. auch BGE 135 V 297 E. 5.1 S. 300 f.; 134 V 322 E. 4.1 S. 325 f.; 129 V 222 E. 4.3.1 S. 224). 3.2. Geleistete Überstunden (bzw. Entschädigungen dafür) dürfen bei der Be- messung des Valideneinkommens lediglich berücksichtigt werden, wenn und soweit sie auch für die Zukunft zu erwarten gewesen wären. Bei mehr- jährigen Arbeitsverhältnissen ist erste Voraussetzung, dass dies in der Ver- gangenheit bereits wiederholt geschehen ist (siehe etwa Urteile des Bun- desgerichts 8C_744/2012 vom 20. Dezember 2012 E. 2; 8C_61/2012 vom 25. April 2012 E. 2.7.2; 9C_824/2011 vom 10. Februar 2012 E. 3.3). An- haltspunkte dazu können neben Lohnabrechnungen etwa auch der Auszug aus dem individuellen Konto der Ausgleichskasse (kurz: IK-Auszug) liefern. Fehlt es daran, scheitert der Nachweis eines ohne den Unfall auch in der Zukunft aller Voraussicht nach regelmässig erwirtschafteten (Zusatz-)Ver- dienstes. Mit anderen Worten sind Überzeiten beim Valideneinkommen (erst) dann zu berücksichtigen, wenn sie 1. vor dem Unfallereignis regel- mässig geleistet und ausbezahlt wurden, und 2. auch nach dem Unfaller- eignis voraussichtlich erbracht und ausbezahlt worden wären. Zu Letzte- rem sind Auskünfte der damaligen Arbeitgeberin in die Entscheidfindung miteinzubeziehen (vgl. Urteile des Bundesgerichts 8C_233/2015 vom 13. Oktober 2015 E. 3.4; 8C_998/2012 vom 12. März 2013 E. 4.1 und 8C_744/2012 vom 20. Dezember 2012 E. 2). 3.3. Die Parteien gehen – nach Lage der Akten zu Recht (vgl. VB 144, VB 147) – (zumindest implizit) übereinstimmend davon aus, dass bei der Ermittlung des Valideneinkommens für das Jahr 2020 (Rentenbeginn) von einem Jahreslohn von Fr. 74'100.00 [Fr. 5'700.00 x 13] auszugehen und die Überzeitentschädigung, die der Beschwerdeführer ohne Gesundheits-</w:t>
      </w:r>
    </w:p>
    <w:p>
      <w:r>
        <w:t>- 6 - schaden in diesem Jahr mutmasslich erzielt hätte, zu berücksichtigen ist (VB 181 S. 7 f., Beschwerde S. 9). Strittig ist einerseits die Höhe der Über- zeitentschädigung und andererseits, ob der Beschwerdeführer, hätte er den Unfall nicht erlitten, im Jahr 2020 mit überwiegender Wahrschein- lichkeit einen Bonus ("Laufmeterbonus" nach Massgabe der Anzahl Meter verlegter Sockelleisten [vgl. VB 162 S. 40]) erhalten hätte. 3.3.1. Dass der Beschwerdeführer vor dem Unfallereignis regelmässig Überstun- den geleistet hat und ihm diese auch ausbezahlt wurden, ist unbestritten. Zur Klärung der Frage, ob diese auch nach dem Unfallereignis voraussicht- lich erbracht und ausbezahlt worden wären, gelangte die Beschwerdegeg- nerin mit E-Mail vom 28. November 2019 an die ehemalige Arbeitgeberin des Beschwerdeführers. Unter Hinweis darauf, dass der Beschwerdeführer gemäss dem Lohnjournal vor dem Unfall regelmässig Überzeitentschädi- gungen erhalten habe, bat sie um Bekanntgabe, ob und gegebenenfalls in welchem Umfang der Beschwerdeführer "auch heute noch" mit überwie- gender Wahrscheinlichkeit ohne Unfall eine Überzeitentschädigung erhal- ten würde. Für den Fall, dass dies verneint werde, ersuchte sie um Angabe der Gründe dafür (VB 145). Mit E-Mail vom 6. Dezember 2019 teilte die ehemalige Arbeitgeberin mit, der Beschwerdeführer würde "auch heute noch" eine Überzeitentschädigung erhalten, aber wesentlich weniger. Durch Personalzunahme und teilweise Umstrukturierung habe sie erreicht, dass weniger Überstunden abgerechnet werden müssten. Die Überzeit- entschädigung würde sich nun auf 300 bis ca. 500 Franken pro Monat be- laufen (VB 147). Die Beschwerdegegnerin ging in der Folge gestützt auf diese Angaben der Arbeitgeberin bei der Ermittlung des Valideneinkom- mens von einer Überzeitentschädigung von monatlich Fr. 400.00 respek- tive jährlich Fr. 4'800.00 aus (VB 181 S. 8). Das Arbeitsgericht des Kantons Luzern verpflichtete die ehemalige Arbeitgeberin des Beschwerdeführers mit Urteil 1A5 20 11 vom 11. Januar 2023, dem Beschwerdeführer einen Überstundenzuschlag von 25 % auszurichten (S. 15 des Urteils). 3.3.2. Die Angaben des Arbeitgebers geben in aller Regel am genausten wieder, was der Versicherte als Gesunder tatsächlich verdient hätte (vgl. Urteile des Bundesgerichts 8C_771/2019 vom 19. Mai 2020 E. 5.1; 8C_61/2012 vom 25. April 2012 E. 2.4 mit weiteren Hinweisen). Die Beschwerdegegne- rin hatte sodann keine Veranlassung, an den Ausführungen der Arbeitge- berin zu zweifeln, war doch die Formulierung der Frage und auch die Ant- wort darauf unmissverständlich. Zudem bestand kein Anhaltspunkt dafür, dass die Arbeitgeberin die Frage falsch verstanden oder unwahr beantwor- tet haben könnte. Soweit der Beschwerdeführer behauptet, die Arbeitgebe- rin habe ein Interesse daran, die Überstunden so tief wie möglich anzuge- ben (Beschwerde S. 8), ist hierfür kein Grund ersichtlich. Der Beschwerde- führer legt alsdann auch nicht dar, inwiefern die Arbeitgeberin ein solches</w:t>
      </w:r>
    </w:p>
    <w:p>
      <w:r>
        <w:t>- 7 - Interesse haben sollte und welches Ziel sie damit verfolgen würde. Zu be- achten ist, dass sich ihre Angaben auf einen Zeitpunkt nach der Auflösung des Arbeitsverhältnisses mit dem Beschwerdeführer per 30. September 2019 (vgl. VB 126 S. 10; Beschwerde S. 5) bezogen und damit keine finan- ziellen Folgen mehr für sie hatten. Des Weiteren erweist sich die Begrün- dung der ehemaligen Arbeitgeberin, wonach die Personalzunahme und teilweise Umstrukturierung zu einer verglichen mit früheren Jahren ge- ringeren Überzeitentschädigung im Jahr 2020 geführt habe als plausibel. Damit bestand für die Beschwerdegegnerin kein Anlass, die Ausführungen der Arbeitgeberin zu hinterfragen oder weitere Abklärungen vorzunehmen. Eine Verletzung des Untersuchungsgrundsatzes liegt folglich nicht vor, und es sind auch keine weiteren Abklärungen indiziert. 3.3.3. Demnach ist für das Jahr 2020 gestützt auf die entsprechenden Angaben der ehemaligen Arbeitgeberin des Beschwerdeführers und auf das Urteil des Kantonsgerichts Luzern 1A5 20 11 vom 11. Januar 2023 von einer durchschnittlichen monatlichen Überzeitentschädigung in der Höhe von Fr. 500.00 (Fr. 400.00 x 1.25) auszugehen. 3.3.4. Was den vom Beschwerdeführer behaupteten Bonusanspruch anbelangt, ist festzuhalten, dass ihm gemäss den Darlegungen der Arbeitgeberin ent- sprechende Boni nie ausgerichtet wurden (vgl. VB 175 S. 1) und er gemäss dem am 11. Januar 2023 ergangenen Urteil 1A5 20 11 des Arbeitsgerichts des Kantons Luzern auch keinen Anspruch auf Auszahlung eines Sockel- leistenbonus hatte (vgl. S. 26 des erwähnten Urteils). Damit ging die Be- schwerdegegnerin bei der Ermittlung des Valideneinkommens zu Recht da- von aus, dass der Beschwerdeführer im Gesundheitsfall im Jahr 2020 kei- nen Bonus erzielt hätte. 3.4. Das Valideneinkommen beläuft sich dementsprechend auf Fr. 80'100.00 (Fr. 74'100.00 [5'700.00 x 13] zuzüglich Überstundenentschädigung von Fr. 6'000.00 [12 x 500.00]).</w:t>
      </w:r>
    </w:p>
    <w:p>
      <w:r>
        <w:rPr>
          <w:b/>
        </w:rPr>
        <w:t>E. 4.1</w:t>
      </w:r>
    </w:p>
    <w:p>
      <w:r>
        <w:t>Das von der Beschwerdegegnerin berechnete Invalideneinkommen von Fr. 68'376.57 basierend auf der Tabelle TA1 der Schweizerischen Lohn- strukturerhebung (LSE) des Bundesamtes für Statistik (BfS), Total, Kom- petenzniveau 1, Männer, unter Berücksichtigung der Lohnentwicklung bis 2020, wurde vom Beschwerdeführer nur dahingehend beanstandet, dass er einen leidensbedingten Abzug von mindestens 20 % forderte. Dies be- gründete er damit, dass ihm – entgegen den Behauptungen der Beschwer- degegnerin – keine grosse Palette an möglichen Arbeitsstellen offenstehe.</w:t>
      </w:r>
    </w:p>
    <w:p>
      <w:r>
        <w:t>- 8 - Zudem sei es ihm aufgrund seiner kaum vorhandenen Deutschkenntnisse praktisch unmöglich, überhaupt eine passende Anstellung zu finden. Auch sei es nach wie vor so, dass Männer in einer Teilzeitarbeit weniger verdie- nen würden als Frauen (Beschwerde S. 9).</w:t>
      </w:r>
    </w:p>
    <w:p>
      <w:r>
        <w:rPr>
          <w:b/>
        </w:rPr>
        <w:t>E. 4.2</w:t>
      </w:r>
    </w:p>
    <w:p>
      <w:r>
        <w:t>Wird das Invalideneinkommen auf der Grundlage von statistischen Durch- schnittswerten ermittelt, ist der entsprechende Ausgangswert allenfalls zu kürzen. Die Frage, ob und in welchem Ausmass Tabellenlöhne herabzu- setzen sind, hängt von sämtlichen persönlichen und beruflichen Umstän- den des konkreten Einzelfalls ab (leidensbedingte Einschränkung, Alter, Dienstjahre, Nationalität/Aufenthaltskategorie und Beschäftigungsgrad), welche nach pflichtgemässem Ermessen gesamthaft zu schätzen sind. Ein Abzug soll aber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Bei der Bestimmung der Höhe des Abzugs ist der Einfluss aller in Betracht fallenden Merkmale auf das Invalideneinkommen unter Würdigung der Umstände im Einzelfall ge- samthaft zu schätzen und insgesamt auf höchstens 25 % des Tabellen- lohns zu begrenzen (BGE 135 V 297 E. 5.2 S. 301; 134 V 322 E. 5.2 S. 327 f. 129 V 472 E. 4.2.3 S. 481; 126 V 75 [insbesondere E. 5 S. 78 ff.]).</w:t>
      </w:r>
    </w:p>
    <w:p>
      <w:r>
        <w:rPr>
          <w:b/>
        </w:rPr>
        <w:t>E. 4.3</w:t>
      </w:r>
    </w:p>
    <w:p>
      <w:r>
        <w:t>Gemäss dem von Dr. med. C._____ definierten Zumutbarkeitsprofil ist der Beschwerdeführer in der Lage, ganztags leichte bis mittelschwere Tä- tigkeiten auszuüben, wobei das Arbeiten in kauernder oder kniender Stel- lung vermieden werden sollte. Weitere Einschränkungen bestehen nicht (VB 111 S. 3). Der von der Beschwerdegegnerin angewandte Tabellenlohn des Kompe- tenzniveaus 1 basiert auf einer Vielzahl (auch) von leichten bis mittelschwe- ren Tätigkeiten (vgl. Urteile des Bundesgerichts 9C_862/2017 vom 29. Juni 2018 E. 3.3.1; 9C_833/2017 vom 20. April 2018 E. 5.1; 8C_61/2018 vom 23. März 2018 E. 6.5.2; 8C_439/2017 vom 6. Oktober 2017 E. 5.5). Die körperlichen Einschränkungen fanden sodann bereits bei der Bemessung der Arbeitsfähigkeit im angegebenen Profil einer Verweistätigkeit (VB 111 S. 3) sowie in der Einteilung in das Kompetenzniveau 1 hinreichend Be- rücksichtigung, weshalb sie nicht zu einem zusätzlichen leidensbedingten Abzug führen können (Urteile des Bundesgerichts 8C_536/2019 vom 26. September 2019 E. 5.2.2.; 9C_833/2017 vom 20. April 2018 E. 2.2). Einfache und repetitive Tätigkeiten, auf welche sich das angewandte Kom- petenzniveau 1 bezieht, erfordern zudem weder gute Sprachkenntnisse noch ein besonderes Bildungsniveau (vgl. Urteile des Bundesge- richts 9C_418/2017 vom 30. Oktober 2017 E. 4.5.2; 9C_808/2015 vom</w:t>
      </w:r>
    </w:p>
    <w:p>
      <w:r>
        <w:t>- 9 - 29. Februar 2016 E. 3.4.2). Soweit der Beschwerdeführer darauf hinweist, dass Männer in einer Teilzeitarbeit weniger verdienten als Frauen (Be- schwerde S. 9), ist nicht ersichtlich, was er hieraus ableiten möchte, ist er doch in einer leidensangepassten Tätigkeit voll arbeitsfähig (vgl. VB 111 S. 3). Weitere Faktoren, die einen Abzug als gerechtfertigt erscheinen liessen, liegen nicht vor, weshalb die Beschwerdegegnerin in Gesamtwür- digung der Umstände zu Recht keinen leidensbedingten Abzug gewährt hat.</w:t>
      </w:r>
    </w:p>
    <w:p>
      <w:r>
        <w:rPr>
          <w:b/>
        </w:rPr>
        <w:t>E. 4.4</w:t>
      </w:r>
    </w:p>
    <w:p>
      <w:r>
        <w:t>Unzutreffend ist indes die im angefochtenen Einspracheentscheid bei der Berechnung des Invaliditätsgrades vorgenommene Anpassung an die Lohnentwicklung bis 2020 gestützt auf Quartalsschätzungen des BfS. Diese erreichen als blosse Vermutung den geforderten Beweisgrad der überwiegenden Wahrscheinlichkeit nicht (vgl. etwa Urteile des Bundesge- richts 8C_529/2022 vom 6. Februar 2023 E. 6.3.1; 8C_701/2018 vom 28. Februar 2019 E. 6.1.2; 8C_733/2017 vom 29. März 2018 E. 4.3.1). Massgebend ist gemäss konstanter Rechtsprechung des Bundesgerichts vielmehr die Tabelle T1.10 zur Nominallohnentwicklung (vgl. BGE 129 V 408 E. 3.1.2 S. 410; Urteil des Bundesgerichts 8C_98/2023 vom 10. Au- gust 2023 E. 5.2.7). Gestützt auf die Tabelle TA1 des Jahres 2018, Total, Kompetenzniveau 1, unter Berücksichtigung der betriebsüblichen wöchent- lichen Arbeitszeit sowie der Nominallohnentwicklung bis 2020 ergibt sich somit ein Invalideneinkommen von Fr. 68'863.00 (Fr. 5'417.00 x 12 x 41.7/ 40 x 106.8/ ). 105.1</w:t>
      </w:r>
    </w:p>
    <w:p>
      <w:r>
        <w:rPr>
          <w:b/>
        </w:rPr>
        <w:t>E. 4.5</w:t>
      </w:r>
    </w:p>
    <w:p>
      <w:r>
        <w:t>Bei einer Gegenüberstellung der Vergleichseinkommen resultiert eine Er- werbseinbusse von Fr. 11'237.00 (Fr. 80'100.00 - Fr. 68'863.00) und damit (nach wie vor) ein Invaliditätsgrad von gerundet 14 %.</w:t>
      </w:r>
    </w:p>
    <w:p>
      <w:r>
        <w:rPr>
          <w:b/>
        </w:rPr>
        <w:t>E. 5.1</w:t>
      </w:r>
    </w:p>
    <w:p>
      <w:r>
        <w:t>Nach dem Dargelegten hat die Beschwerdegegnerin dem Beschwerdefüh- rer mit Einspracheentscheid vom 2. Februar 2021 im Ergebnis zu Recht mit Wirkung ab 1. Januar 2020 eine auf einem Invaliditätsgrad von 14 % be- ruhende Invalidenrente zugesprochen. Die dagegen erhobene Be- schwerde ist daher abzuweisen, soweit darauf einzutreten ist.</w:t>
      </w:r>
    </w:p>
    <w:p>
      <w:r>
        <w:rPr>
          <w:b/>
        </w:rPr>
        <w:t>E. 5.2</w:t>
      </w:r>
    </w:p>
    <w:p>
      <w:r>
        <w:t>Das Verfahren ist kostenlos (Art. 61 lit. fbis ATSG).</w:t>
      </w:r>
    </w:p>
    <w:p>
      <w:r>
        <w:rPr>
          <w:b/>
        </w:rPr>
        <w:t>E. 5.3.1</w:t>
      </w:r>
    </w:p>
    <w:p>
      <w:r>
        <w:t>Dem Beschwerdeführer steht nach dem Ausgang des Verfahrens (Art. 61 lit. g ATSG) und der Beschwerdegegnerin aufgrund ihrer Stellung als So-</w:t>
      </w:r>
    </w:p>
    <w:p>
      <w:r>
        <w:t>- 10 - zialversicherungsträgerin (BGE 126 V 143 E. 4 S. 149 ff.) kein Anspruch auf Parteientschädigung zu. Rechtsanwalt lic. iur. Stefan Galligani teilte dem Versicherungsgericht am 23. Januar 2023 mit, der Beschwerdeführer habe ihm das Mandat per so- fort entzogen. Er ist daher aus dem vorliegenden Verfahren zu entlassen. Für seine bis zum 23. Januar 2023 entstandenen Aufwendungen wird ihm das angemessene Honorar nach Eintritt der Rechtskraft des versicherungs- gerichtlichen Urteils aus der Obergerichtskasse zu vergüten sein (Art. 122 Abs. 1 lit. a ZPO i.V.m. § 34 Abs. 3 VRPG). Mit Eingabe vom 23. Januar reichte lic. iur. Stefan Galligani eine Kostennote ein, mit welcher er eine Entschädigung von Fr. 3'017.35 geltend macht.</w:t>
      </w:r>
    </w:p>
    <w:p>
      <w:r>
        <w:rPr>
          <w:b/>
        </w:rPr>
        <w:t>E. 5.3.2</w:t>
      </w:r>
    </w:p>
    <w:p>
      <w:r>
        <w:t>Die Entschädigung im Beschwerdeverfahren vor dem Versicherungsge- richt richtet sich nicht nach einem Stundentarif, sondern in erster Linie nach der Bedeutung und der Schwierigkeit des Falles (von Fr. 1'210.00 bis Fr. 14'740.00; § 8a Abs. 3 i.V.m. § 3 Abs. 1 lit. b AnwT). Praxisgemäss be- trägt die Grundentschädigung in einem durchschnittlichen Beschwerdever- fahren betreffend UVG innerhalb des genannten Tarifrahmens von § 3 Abs. 1 lit. b AnwT Fr. 3'300.00. Mit dieser Grundentschädigung sind Akten- studium, Instruktionen, rechtliche Abklärungen, Korrespondenz und Tele- fonate sowie eine Rechtsschrift und die Teilnahme an einer behördlichen Verhandlung abgegolten. Hiervon erfolgt ein Abschlag gemäss § 6 Abs. 1 AnwT von 10 % aufgrund der nicht durchgeführten Verhandlung. Sodann hatte lic. iur Stefan Galligani den Beschwerdeführer bereits im Verwal- tungsverfahren vertreten und damit entsprechende Aktenkenntnisse, was zu einem Abzug von 25 % führt. Zum Honorar hinzu kommen eine Spesen- pauschale von 3 % sowie die gesetzliche Mehrwertsteuer (MwSt.; bis Ende 2023 geltender Mehrwertsteuersatz von 7.7 %). Es ergibt sich damit eine Entschädigung von gerundet insgesamt Fr. 2'450.00 (inkl. Auslagen und MwSt.; vgl. § 8c AnwT).</w:t>
      </w:r>
    </w:p>
    <w:p>
      <w:r>
        <w:rPr>
          <w:b/>
        </w:rPr>
        <w:t>E. 5.4</w:t>
      </w:r>
    </w:p>
    <w:p>
      <w:r>
        <w:t>Es wird ausdrücklich auf Art. 123 ZPO verwiesen, wonach eine Partei, der die unentgeltliche Rechtspflege gewährt wurde, zur Nachzahlung der dem Rechtsvertreter ausgerichteten Entschädigung verpflichtet ist, sobald sie dazu in der Lage ist. Das Versicherungsgericht beschliesst: Lic. iur. Stefan Galligani, Rechtsanwalt, Schöftland, wird als unentgeltlicher Rechtsvertreter des Beschwerdeführers entlassen.</w:t>
      </w:r>
    </w:p>
    <w:p>
      <w:r>
        <w:t>- 11 - Das Versicherungsgericht erkennt: 1. Die Beschwerde wird abgewiesen, soweit darauf eingetreten wird. 2. Es werden keine Verfahrenskosten erhoben. 3. Es werden keine Parteientschädigungen zugesprochen. 4. Das Honorar von lic. iur. Galligani, Rechtsanwalt, Schöftland, für seine Be- mühungen als unentgeltlicher Rechtsvertreter des Beschwerdeführers, wird richterlich auf Fr. 2'450.00 festgesetzt. Die Obergerichtskasse wird gestützt auf § 12 Anwaltstarif angewiesen, dem ehemaligen unentgeltlichen Rechtsvertreter des Beschwerdeführers, lic. iur. Galligani, Rechtsanwalt, Schöftland, nach Eintritt der Rechtskraft das Honorar von Fr. 2'450.00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16. Februar 2024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