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VBE.2021.335 vom 7. Februar 2022</w:t>
      </w:r>
    </w:p>
    <w:p>
      <w:r>
        <w:t>Ag Versicherungsgericht, 2022-02-07, DE</w:t>
      </w:r>
    </w:p>
    <w:p>
      <w:r>
        <w:rPr>
          <w:b/>
        </w:rPr>
        <w:t xml:space="preserve">Quelle: </w:t>
      </w:r>
      <w:r>
        <w:t>https://mcp.opencaselaw.ch/entscheid/ag_versicherungsgericht_VBE.2021.335</w:t>
      </w:r>
    </w:p>
    <w:p>
      <w:r>
        <w:t>FR: AG_VERSICHERUNGSGERICHT VBE.2021.335 du 7 février 2022</w:t>
      </w:r>
    </w:p>
    <w:p>
      <w:r>
        <w:t>IT: AG_VERSICHERUNGSGERICHT VBE.2021.335 del 7 febbraio 2022</w:t>
      </w:r>
    </w:p>
    <w:p>
      <w:pPr>
        <w:pStyle w:val="Heading2"/>
      </w:pPr>
      <w:r>
        <w:t>Erwägungen</w:t>
      </w:r>
    </w:p>
    <w:p>
      <w:r>
        <w:rPr>
          <w:b/>
        </w:rPr>
        <w:t>E. 2</w:t>
      </w:r>
    </w:p>
    <w:p>
      <w:r>
        <w:t>Es sei die Verfügung der IV-Stelle des Kantons Aargau vom 10. Juni 2021 i.S. Taggelder aufzuheben (soweit damit dem Beschwerdeführer nicht mehr als Taggelder für zwei Lerntage pro Woche sowie für Blocktage zu- gesprochen werden).</w:t>
      </w:r>
    </w:p>
    <w:p>
      <w:r>
        <w:rPr>
          <w:b/>
        </w:rPr>
        <w:t>E. 2.1</w:t>
      </w:r>
    </w:p>
    <w:p>
      <w:r>
        <w:t>Gegen die Taggeld-Verfügung vom 10. Juni 2021 erhob der Beschwerde- führer mit Eingabe vom 14. Juli 2021 fristgerecht Beschwerde und stellte folgende Anträge: "1. Es sei die Beschwerde gutzuheissen.</w:t>
      </w:r>
    </w:p>
    <w:p>
      <w:r>
        <w:rPr>
          <w:b/>
        </w:rPr>
        <w:t>E. 2.1.1</w:t>
      </w:r>
    </w:p>
    <w:p>
      <w:r>
        <w:t>Mit E-Mail vom 19. August 2019 teilte die Beschwerdegegnerin dem Be- schwerdeführer unter anderem mit, dass während einer Anstellung und nach Einstellung der IV-Rente eine Pensumsreduktion auf durchschnittlich 80 % zu Gunsten des Kurstages (Samstag) einen Anspruch auf ein ordent- liches Taggeld (80 %) für die jeweiligen Eingliederungstage, konkret für ei- nen Lerntag pro Woche sowie für die einzelnen Projektwochentage, be- gründe (VB 164). Die Beschwerdegegnerin hielt anschliessend in ihrer Mit- teilung vom 26. August 2019 fest, dass die Kosten für die berufsbeglei- tende Weiterbildung zum B. (Umschulung vom 16. August 2019 bis zum 2. Juli 2022) übernommen würden. Die IV-Rente werde nach Abschluss des Vorbescheidverfahrens für die Zukunft aufgehoben. Bis zur Einstellung der Rente bestehe zusätzlich ein Anspruch auf ein Taggeld im Umfang des aufgrund der Pensumsreduktion von 20 % entgangenen Verdienstes (VB 169). Einen entsprechenden Taggeldanspruch verfügte die Beschwer- degegnerin am 28. August 2019 (VB 172 S. 1). Über Leistungen, Forderungen und Anordnungen, die erheblich sind oder mit denen die betroffene Person nicht einverstanden ist, hat der Versiche- rungsträger gemäss Art. 49 Abs. 1 ATSG schriftlich Verfügungen zu erlas- sen. Die Frist für eine Intervention der betroffenen Person gegen den un- zulässigerweise formlos mitgeteilten Entscheid beträgt im Regelfall ein Jahr seit der Mitteilung. Ohne fristgerechte Intervention erlangt der Entscheid rechtliche Wirksamkeit, wie wenn er zulässigerweise im Rahmen von Art. 51 Abs. 1 ATSG ergangen wäre (vgl. Urteil des Bundesgerichts 8C_536/2017 vom 5. März 2018 E. 3.4 mit Hinweis). Die Mitteilung vom 26. August 2019 erwuchs folglich mangels Intervention des Beschwerde- führers innert Jahresfrist in Rechtskraft.</w:t>
      </w:r>
    </w:p>
    <w:p>
      <w:r>
        <w:t>- 5 -</w:t>
      </w:r>
    </w:p>
    <w:p>
      <w:r>
        <w:rPr>
          <w:b/>
        </w:rPr>
        <w:t>E. 2.2</w:t>
      </w:r>
    </w:p>
    <w:p>
      <w:r>
        <w:t>Nach Einstellung der Invalidenrente des Beschwerdeführers mit Verfügung vom 8. Oktober 2019 (VB 177) sprach die Beschwerdegegnerin dem Be- schwerdeführer mit Verfügung vom 13. Dezember 2019 (VB 191) für die gesamte verbleibende Dauer der Umschulung (vom 1. Dezember 2019 bis zum 3. Juli 2022) ein Taggeld zu. Die Beschwerdegegnerin hielt dabei Fol- gendes fest: "Das TG ist für jeden Freitag (1 Tag pro Woche) auszuzahlen – dies vom 1.12.2019 – 2.7.2022. Vom 2.12. – 6.12.2019 (5 Tage) ist das Taggeld durchgehend auszuzahlen. Weitere Blockkurse und somit durch- gehende Tage werden folgen. Diese werden jeweils zu gegebener Zeit von der IV-Stelle an die AK mitgeteilt". Diese Verfügung erwuchs unangefoch- ten in Rechtskraft.</w:t>
      </w:r>
    </w:p>
    <w:p>
      <w:r>
        <w:rPr>
          <w:b/>
        </w:rPr>
        <w:t>E. 2.3</w:t>
      </w:r>
    </w:p>
    <w:p>
      <w:r>
        <w:t>Anschliessend ergingen zwei weitere – unangefochten gebliebene – Tag- geld-Verfügungen, wonach jeweils das auszuzahlende Taggeld an die Pensumsänderungen des Beschwerdeführers angepasst sowie während den Blockkursen durchgehend Taggelder zugesprochen wurden (VB 197; 227). Mit angefochtener Verfügung vom 10. Juni 2021 gewährte die Be- schwerdegegnerin wiederum einzig einen zusätzlichen Eingliederungstag (Montag zusätzlich zum Freitag) aufgrund der erneuten Reduktion des Pen- sums um 20 % zugunsten eines zusätzlichen Lerntages (VB 240; 238). 3.</w:t>
      </w:r>
    </w:p>
    <w:p>
      <w:r>
        <w:rPr>
          <w:b/>
        </w:rPr>
        <w:t>E. 2.4</w:t>
      </w:r>
    </w:p>
    <w:p>
      <w:r>
        <w:t>Die Beschwerdegegnerin verzichtete mit Schreiben vom 19. Novem- ber 2021 auf eine Duplik.</w:t>
      </w:r>
    </w:p>
    <w:p>
      <w:r>
        <w:rPr>
          <w:b/>
        </w:rPr>
        <w:t>E. 2.5</w:t>
      </w:r>
    </w:p>
    <w:p>
      <w:r>
        <w:t>Mit Verfügung vom 22. November 2021 wies die Instruktionsrichterin das Gesuch des Beschwerdeführers um unentgeltliche Rechtspflege ab.</w:t>
      </w:r>
    </w:p>
    <w:p>
      <w:r>
        <w:t>- 4 - Das Versicherungsgericht zieht in Erwägung: 1. Der Beschwerdeführer beanstandet im Rahmen der Anfechtung der Verfü- gung vom 10. Juni 2021 (Vernehmlassungsbeilage [VB] 240) im Wesentli- chen, das ihm zugesprochene Taggeld sei zu tief, ihm stehe aufgrund sei- ner mindestens 50 %igen Arbeitsunfähigkeit in der gewohnten Tätigkeit ein durchgehender – und nicht nur ein auf die Eingliederungstage beschränkter – Taggeldanspruch zu (Antrag Ziff. 2; Beschwerde S. 9, 13; Replik Anträge 2 und 3). Das Massliche bemängelt der rechtskundig vertretene Beschwer- deführer nicht, weshalb sich von Vornherein Ausführungen zur Höhe der jeweiligen Taggelder (Tagesansatz) erübrigen. 2.</w:t>
      </w:r>
    </w:p>
    <w:p>
      <w:r>
        <w:rPr>
          <w:b/>
        </w:rPr>
        <w:t>E. 3</w:t>
      </w:r>
    </w:p>
    <w:p>
      <w:r>
        <w:t>Es sei die Sache zu weiteren Abklärungen und neuer Verfügung im Sinn der Erwägungen an die IV-Stelle zurückzuweisen.</w:t>
      </w:r>
    </w:p>
    <w:p>
      <w:r>
        <w:t>- 3 -</w:t>
      </w:r>
    </w:p>
    <w:p>
      <w:r>
        <w:rPr>
          <w:b/>
        </w:rPr>
        <w:t>E. 3.1.1</w:t>
      </w:r>
    </w:p>
    <w:p>
      <w:r>
        <w:t>Im verwaltungsgerichtlichen Beschwerdeverfahren sind grundsätzlich nur Rechtsverhältnisse zu überprüfen und zu beurteilen, zu denen die zustän- dige Verwaltungsbehörde vorgängig verbindlich Stellung genommen hat. Insoweit bestimmt die Verfügung den beschwerdeweise weiterziehbaren Anfechtungsgegenstand. Umgekehrt fehlt es an einem Anfechtungsgegen- stand und somit an einer Sachurteilsvoraussetzung, wenn und insoweit keine Verfügung ergangen ist (BGE 131 V 164 E. 1.2 S. 164 f. mit Hinwei- sen).</w:t>
      </w:r>
    </w:p>
    <w:p>
      <w:r>
        <w:rPr>
          <w:b/>
        </w:rPr>
        <w:t>E. 3.1.2</w:t>
      </w:r>
    </w:p>
    <w:p>
      <w:r>
        <w:t>Die formelle Rechtskraft eines Verwaltungsentscheides entfaltet sich nur im Rahmen persönlich, sachlich und zeitlich identischer Verfügungs- bzw. Anfechtungsgegenstände (Urteil des Bundesgerichts 9C_782/2009 vom 16. April 2010 E. 2; mit Hinweis auf MEYER-BLASER, Die Abänderung for- mell rechtskräftiger Verwaltungsverfügungen in der Sozialversicherung, in: ZBl 95 (1994) S. 343; RUMO-JUNGO, Die Instrumente zur Korrektur der So- zialversicherungsverfügung, in: Verfahrensfragen in der Sozialversiche- rung, St. Gallen 1996, S. 271 f.; FRITZ WIDMER, Die Rückerstattung un- rechtmässig bezogener Leistungen in der Sozialversicherung unter beson-</w:t>
      </w:r>
    </w:p>
    <w:p>
      <w:r>
        <w:t>- 6 - derer Berücksichtigung der Rechtsprechung des Eidgenössischen Versi- cherungsgerichts, Diss. Basel 1984, S. 91). Bei Dauerverfügungen wird während der gesamten Leistungsbezugszeit Rechtsbeständigkeit der sog. Grundverfügung angenommen (MEYER-BLASER, a.a.O., S. 344). Die Be- rechnungsfaktoren einer Rente oder des Taggeldes haben insofern Anteil an der Rechtskraft des entsprechenden Entscheides (BGE 117 V 121 E. 3 S. 124; EVGE 1962 S. 198; vgl. zum Ganzen Urteil des Bundesgerichts 9C_782/2009 vom 16. April 2010 E. 2 und E. 3.2 mit weiteren Hinweisen).</w:t>
      </w:r>
    </w:p>
    <w:p>
      <w:r>
        <w:rPr>
          <w:b/>
        </w:rPr>
        <w:t>E. 3.2</w:t>
      </w:r>
    </w:p>
    <w:p>
      <w:r>
        <w:t>Nach dem in E. 2 Ausgeführten ist davon auszugehen, dass der Beschwer- deführer durch die Mitteilung vom 26. August 2019 sowie die Taggeld-Ver- fügung vom 13. Dezember 2019 hinreichend über seine Leistungsansprü- che orientiert worden war. Damals gelangte klar zum Ausdruck, dass dem Beschwerdeführer eine berufsbegleitende Umschulung für die Dauer von drei Jahren finanziert werden würde und ihm ein Taggeld für einzelne Ein- gliederungstage (zunächst jeweils freitags) zustand. Da ihm durchgehende Taggelder explizit nur für Blockkurse (von jeweils fünf Tagen) zugespro- chen wurden, fiel ein permanent durchgehendes Taggeld von Vornherein ausser Betracht. Wenn der Beschwerdeführer der Auffassung gewesen wäre, Anspruch auf ein (permanent) durchgehendes Taggeld etwa im Sinn von Art. 22 Abs. 1 IVG i.V.m. Art. 17bis lit. b IVV zu haben, so hätte er gegen die Mitteilung vom 26. August 2019 opponieren und die erwähnte Taggeld- verfügung vom 13. Dezember 2019 anfechten müssen, was er jedoch un- terliess. Die Rechtsbeständigkeit jener Mitteilung sowie der erwähnten Tag- geldverfügung erstreckt sich aufgrund zeitlicher, persönlicher und sachli- cher Identität über die gesamte Dauer der gewährten beruflichen Mass- nahme (vgl. Urteile des Bundesgerichts 9C_826/2016 vom 10. März 2017 E. 4.2 f. und 9C_782/2009 vom 16. April 2010 E. 3.2).</w:t>
      </w:r>
    </w:p>
    <w:p>
      <w:r>
        <w:rPr>
          <w:b/>
        </w:rPr>
        <w:t>E. 3.3</w:t>
      </w:r>
    </w:p>
    <w:p>
      <w:r>
        <w:t>Zusammenfassend hätte der Beschwerdeführer zur Geltendmachung ei- nes durchgehenden Taggeldanspruchs somit eine anfechtbare Verfügung innert einem Jahr nach Erhalt der Mitteilung vom 26. August 2019 verlan- gen und gegebenenfalls dagegen vorgehen bzw. die Taggeldverfügung vom 13. Dezember 2019 anfechten müssen (vgl. Urteil des Bundesgerichts 9C_826/2016 vom 10. März 2017 E. 3.1). Ein Zurückkommen auf den da- mals festgelegten und auf die Eingliederungstage begrenzten Taggeldan- spruch ist im vorliegenden Verfahren nicht mehr möglich. Die formelle Rechtskraft des ursprünglichen Entscheides steht der Überprüfung eines weitergehenden (durchgehenden) Taggeldanspruchs des Beschwerdefüh- rers entgegen, weshalb es vorliegend an einem Anfechtungsgegenstand und somit an einer Sachurteilsvoraussetzung fehlt (vgl. E. 3.1.1. hiervor). Auf die Beschwerde ist demnach nicht einzutreten. Die vom Beschwerde- führer beantragten (Antrag Ziff. 3; Beschwerde S. 4 f.; Replik S. 3, 5 f.) Ab- klärungen erübrigen sich vor diesem Hintergrund.</w:t>
      </w:r>
    </w:p>
    <w:p>
      <w:r>
        <w:t>- 7 - 4.</w:t>
      </w:r>
    </w:p>
    <w:p>
      <w:r>
        <w:rPr>
          <w:b/>
        </w:rPr>
        <w:t>E. 4</w:t>
      </w:r>
    </w:p>
    <w:p>
      <w:r>
        <w:t>Unter Kosten- und Entschädigungsfolgen (zzgl. MWST).</w:t>
      </w:r>
    </w:p>
    <w:p>
      <w:r>
        <w:rPr>
          <w:b/>
        </w:rPr>
        <w:t>E. 4.1</w:t>
      </w:r>
    </w:p>
    <w:p>
      <w:r>
        <w:t>Gemäss Art. 61 Abs. 1 lit. fbis ATSG i.V.m. Art. 69 Abs. 1bis IVG ist das Ver- fahren kostenpflichtig. Die Kosten werden nach dem Verfahrensausgang und unabhängig vom Streitwert im Rahmen von Fr. 200.00 bis Fr. 1'000.00 festgesetzt. Für das vorliegende Verfahren betragen diese Fr. 400.00. Sie sind gemäss dem Verfahrensausgang dem Beschwerdeführer aufzuerle- gen.</w:t>
      </w:r>
    </w:p>
    <w:p>
      <w:r>
        <w:rPr>
          <w:b/>
        </w:rPr>
        <w:t>E. 4.2</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Auf die Beschwerde wird nicht eingetreten. 2. Die Verfahrenskosten von Fr. 400.00 werden dem Beschwerdeführer auf- erlegt. 3. Es werden keine Parteientschädigungen zugesprochen. Zustellung an: den Beschwerdeführer (Vertreter; 2-fach) die Beschwerdegegnerin das Bundesamt für Sozialversicherungen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Februar 2022 Versicherungsgericht des Kantons Aargau 2. Kammer Die Präsidentin: Die Gerichtsschreiberin: Peterhans Wirth</w:t>
      </w:r>
    </w:p>
    <w:p>
      <w:r>
        <w:rPr>
          <w:b/>
        </w:rPr>
        <w:t>E. 5</w:t>
      </w:r>
    </w:p>
    <w:p>
      <w:r>
        <w:t>Es sei dem Beschwerdeführer die unentgeltliche Rechtspflege zu gewäh- ren und ihm Rechtsanwalt Andreas Wagner, Baden, als unentgeltlicher Rechtsbeistand zu bestellen.</w:t>
      </w:r>
    </w:p>
    <w:p>
      <w:r>
        <w:rPr>
          <w:b/>
        </w:rPr>
        <w:t>E. 6</w:t>
      </w:r>
    </w:p>
    <w:p>
      <w:r>
        <w:t>(Im Verfahren) Es seien sämtliche Akten der Vorinstanz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