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VBE.2021.254 vom 28. März 2024</w:t>
      </w:r>
    </w:p>
    <w:p>
      <w:r>
        <w:t>Ag Versicherungsgericht, 2024-03-28, DE</w:t>
      </w:r>
    </w:p>
    <w:p>
      <w:r>
        <w:rPr>
          <w:b/>
        </w:rPr>
        <w:t xml:space="preserve">Quelle: </w:t>
      </w:r>
      <w:r>
        <w:t>https://mcp.opencaselaw.ch/entscheid/ag_versicherungsgericht_VBE.2021.254</w:t>
      </w:r>
    </w:p>
    <w:p>
      <w:r>
        <w:t>FR: AG_VERSICHERUNGSGERICHT VBE.2021.254 du 28 mars 2024</w:t>
      </w:r>
    </w:p>
    <w:p>
      <w:r>
        <w:t>IT: AG_VERSICHERUNGSGERICHT VBE.2021.254 del 28 marzo 2024</w:t>
      </w:r>
    </w:p>
    <w:p>
      <w:pPr>
        <w:pStyle w:val="Heading2"/>
      </w:pPr>
      <w:r>
        <w:t>Erwägungen</w:t>
      </w:r>
    </w:p>
    <w:p>
      <w:r>
        <w:rPr>
          <w:b/>
        </w:rPr>
        <w:t>E. 4</w:t>
      </w:r>
    </w:p>
    <w:p>
      <w:r>
        <w:t>Am 1. Januar 2022 sind die Änderungen betreffend Weiterentwicklung der IV (WEIV) in Kraft getreten. Die angefochtene Verfügung erging vor dem 1. Januar 2022. Nach den allgemeinen Grundsätzen des intertemporalen Rechts und des zeitlich massgebenden Sachverhalts (statt vieler: BGE 144 V 210 E. 4.3.1 S. 213; 129 V 354 E. 1 S. 365 mit Hinweisen) ist daher für deren Beurteilung die bis zum 31. Dezember 2021 geltende Rechtslage massgebend.</w:t>
      </w:r>
    </w:p>
    <w:p>
      <w:r>
        <w:rPr>
          <w:b/>
        </w:rPr>
        <w:t>E. 5.1</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wiederherzustellen, zu er- halten oder zu verbessern. Nach Massgabe der Art. 13 und 21 IVG besteht der Anspruch auf Leistungen unabhängig von der Möglichkeit einer Einglie- derung ins Erwerbsleben oder in den Aufgabenbereich (Art. 8 Abs. 2 IVG). Zu den Eingliederungsmassnahmen gehört unter anderem die Abgabe von Hilfsmitteln (Art. 8 Abs. 3 lit. d IVG).</w:t>
      </w:r>
    </w:p>
    <w:p>
      <w:r>
        <w:t>- 6 -</w:t>
      </w:r>
    </w:p>
    <w:p>
      <w:r>
        <w:rPr>
          <w:b/>
        </w:rPr>
        <w:t>E. 5.2</w:t>
      </w:r>
    </w:p>
    <w:p>
      <w:r>
        <w:t>Versicherte Personen haben gemäss Art. 21 Abs. 1 Satz 1 IVG im Rahmen einer vom Bundesrat aufzustellenden Liste Anspruch auf jene Hilfsmittel, derer sie für die Ausübung der Erwerbstätigkeit oder der Tätigkeit im Auf- gabenbereich, zur Erhaltung oder Verbesserung der Erwerbsfähigkeit, für die Schulung, die Aus- und Weiterbildung oder zum Zwecke der funktionel- len Angewöhnung bedürfen. Die versicherte Person, die infolge ihrer Inva- lidität für die Fortbewegung, für die Herstellung des Kontaktes mit der Um- welt oder für die Selbstsorge kostspieliger Geräte bedarf, hat im Rahmen einer vom Bundesrat aufzustellenden Liste ohne Rücksicht auf die Er- werbsfähigkeit Anspruch auf solche Hilfsmittel (Art. 21 Abs. 2 IVG).</w:t>
      </w:r>
    </w:p>
    <w:p>
      <w:r>
        <w:rPr>
          <w:b/>
        </w:rPr>
        <w:t>E. 5.3</w:t>
      </w:r>
    </w:p>
    <w:p>
      <w:r>
        <w:t>Der Bundesrat hat in Art. 14 IVV die Befugnis zum Erlass der Hilfsmittel- liste, einschliesslich derjenigen zum Erlass näherer Bestimmungen über Beiträge an die Kosten invaliditätsbedingter Anpassungen von Geräten und Immobilien, an das Eidgenössische Departement des Innern (EDI) dele- giert, welches gestützt darauf die Verordnung des EDI über die Abgabe von Hilfsmitteln durch die Invalidenversicherung (HVI) mit der im Anhang auf- geführten Liste der Hilfsmittel erlassen hat, auf deren Abgabe die Versi- cherten grundsätzlich Anspruch haben. Nach Art. 2 HVI besteht im Rah- men der im Anhang aufgeführten Liste Anspruch auf Hilfsmittel, soweit diese für die Fortbewegung, die Herstellung des Kontaktes mit der Umwelt oder für die Selbstsorge notwendig sind (Abs. 1). Es besteht indes nur An- spruch auf Hilfsmittel in einfacher, zweckmässiger und wirtschaftlicher Aus- führung (Abs. 3).</w:t>
      </w:r>
    </w:p>
    <w:p>
      <w:r>
        <w:rPr>
          <w:b/>
        </w:rPr>
        <w:t>E. 5.4</w:t>
      </w:r>
    </w:p>
    <w:p>
      <w:r>
        <w:t>Mit den Hilfsmitteln für Versicherte, die infolge ihrer Invalidität für die Fort- bewegung kostspieliger Geräte bedürfen, befasst sich Ziff. 9 HVI-Anhang (Rollstühle), wobei unterschieden wird zwischen Rollstühlen ohne motori- schen Antrieb (Ziff. 9.01) und Elektrorollstühlen (Ziff. 9.02). Nach Rz. 2073 des Kreisschreibens des Bundesamtes für Sozialversicherungen über die Abgabe von Hilfsmitteln durch die Invalidenversicherung (KHMI, gültig ab 1. Januar 2013, in der hier massgeblichen Fassung "Stand per 1. Januar 2021") muss die Rollstuhlversorgung bei Rollstühlen ohne motorischen An- trieb aufgrund der medizinischen Begründung (Formular Ärztliche Verord- nung zur Abgabe eines Rollstuhls) nachvollziehbar sein.</w:t>
      </w:r>
    </w:p>
    <w:p>
      <w:r>
        <w:rPr>
          <w:b/>
        </w:rPr>
        <w:t>E. 5.5</w:t>
      </w:r>
    </w:p>
    <w:p>
      <w:r>
        <w:t>Die Hilfsmittelversorgung unterliegt nach der Rechtsprechung den allge- meinen Anspruchsvoraussetzungen gemäss Art. 8 IVG. Das Hilfsmittel muss daher im Einzelfall dazu bestimmt und geeignet sein, der gesundheit- lich beeinträchtigten versicherten Person in wesentlichem Umfange zur Er- reichung eines der gesetzlich anerkannten Ziele zu verhelfen. Versicherte haben in der Regel nur Anspruch auf die dem jeweiligen Einglie-</w:t>
      </w:r>
    </w:p>
    <w:p>
      <w:r>
        <w:t>- 7 - derungszweck angemessenen, notwendigen Massnahmen, nicht aber auf die nach den gegebenen Umständen bestmöglichen Vorkehren. Denn das Gesetz will die Eingliederung lediglich so weit sicherstellen, als diese im Einzelfall notwendig, aber auch genügend ist; ferner muss der voraussicht- liche Erfolg einer Eingliederungsmassnahme in einem vernünftigen Ver- hältnis zu ihren Kosten stehen (BGE 122 V 212 E. 2c S. 215 mit Hinwei- sen). Nach dem Verhältnismässigkeitsgrundsatz hat die IV für einen in sachlicher, zeitlicher, wirtschaftlich-finanzieller oder persönlicher Hinsicht unangemessenen Mitteleinsatz ebenso wenig aufzukommen wie für unge- eignete oder nicht notwendige Massnahmen (MEYER/REICHMUTH, Recht- sprechung des Bundesgerichts zum IVG, 4. Aufl. 2022, N. 25 ff. zu Art. 21- 21quater IVG).</w:t>
      </w:r>
    </w:p>
    <w:p>
      <w:r>
        <w:rPr>
          <w:b/>
        </w:rPr>
        <w:t>E. 6.1</w:t>
      </w:r>
    </w:p>
    <w:p>
      <w:r>
        <w:t>In der angefochtenen Verfügung vom 14. April 2021 (VB 349) stützte sich die Beschwerdegegnerin in medizinischer Hinsicht im Wesentlichen auf die Stellungnahmen der RAD-Ärzte C._____, Facharzt für Psychiatrie und Psy- chotherapie, vom 23. März 2021 (VB 348) und Dr. med. B._____ vom 13. Juli 2020 (VB 333).</w:t>
      </w:r>
    </w:p>
    <w:p>
      <w:r>
        <w:rPr>
          <w:b/>
        </w:rPr>
        <w:t>E. 6.1.1</w:t>
      </w:r>
    </w:p>
    <w:p>
      <w:r>
        <w:t>In ihrer Aktenbeurteilung vom 13. Juli 2020 hielt Dr. med. B._____ fest, dem ABI-Gutachten vom 4. April 2017 (VB 212) sei zu entnehmen, dass unter Berücksichtigung der ausgedehnten und dokumentierten Aktenlage ein chronisches, somatisch nicht erklärbares multilokuläres Schmerzsyn- drom bestehe mit einem ebenfalls offensichtlich bis anhin nicht erklärbaren ausgeprägten Tremor der Arme und Beine, rechts dominant, und einem akzentuierten diffusen panvertebralen Schmerzsyndrom. Unter Berück- sichtigung der Aktenlage und der aktuellen Anamneseerhebung ergebe sich, dass sich das beklagte Leiden konsistent in allen vergleichbaren Le- bensbereichen auswirke. Es seien weder im eigenen Haushalt noch aus- serhäuslich relevante Alltagsaktivitäten mehr durchführbar, und es bestehe eine gewisse Hilfsbedürftigkeit für Verrichtungen des persönlichen Allta- ges, und dies bereits seit vielen Jahren. Diese spezifischen Einschränkun- gen könnten "rein somatisch orientiert" bis heute nicht erklärt werden. Es falle auf, dass jeweils anlässlich der Konsultationen der permanente Tre- mor mit keinem Mittel bzw. Manöver irgendwie gebremst oder sogar ge- stoppt werden könne. Die Ausprägung des ungewöhnlichen Tremors lasse sich diagnostisch nicht eindeutig zuordnen. Dr. med. B._____ kam sodann zum Schluss, dass aus rein orthopädisch/rheumatologischer Sicht die Not- wendigkeit eines Handrollstuhls nicht nachvollziehbar sei (VB 333 S. 3).</w:t>
      </w:r>
    </w:p>
    <w:p>
      <w:r>
        <w:t>- 8 -</w:t>
      </w:r>
    </w:p>
    <w:p>
      <w:r>
        <w:rPr>
          <w:b/>
        </w:rPr>
        <w:t>E. 6.1.2</w:t>
      </w:r>
    </w:p>
    <w:p>
      <w:r>
        <w:t>RAD-Arzt C._____ führte am 23. März 2021 aus, der Beschwerdeführer leide an einer dissoziativen Störung. Dabei handle es sich um ein grund- sätzlich behandelbares Störungsbild, welches aber prinzipiell Anteile des Nicht-Könnens (auf dem Boden einer intrapsychischen Dynamik) beinhalte. Die in den Berichten von Dr. med. D._____, Praktischer Arzt, Q._____, vom 22. April 2020 (VB 322 S. 10) und des Hausarztes E._____, Y._____, vom 2. Mai 2020 (VB 322 S. 7 ff.) enthaltenen Termini "unmöglich er- scheint" und "auf einen Rollstuhl angewiesen" würden auf den Aspekt des Nicht-Könnens hindeuten. Der Austrittsbericht der Reha F._____ vom 15. September 2020 (VB 341 S. 2 ff.) ziele dahingegen auf den rehabilita- tiven Aspekt und das Bestreben, das Beschwerdebild zu behandeln und zu verändern, ab. Diesem könne entnommen werden, dass Schwerpunkte in der Physiotherapie der Erhalt der Beweglichkeit und der Tonusregulation sowie das Gehen am Rollator und an Nordic Walking Stöcken gewesen seien. Auch aus psychiatrisch-psychotherapeutischer Sicht seien Mass- nahmen geeignet, welche dem Erhalt der Beweglichkeit und der Tonusre- gulation dienen würden. Zu befürworten seien therapeutische Methoden, die direkt darauf abzielen würden, die dissoziative Symptomatik zu vermin- dern bzw. zu kontrollieren, wie es ein Funktionstraining darstelle. Dem ent- gegen stehe der potenziell symptomverstärkende Gebrauch eines Hand- rollstuhls, da dies einer Schonung und positiven Verstärkung der Hilfsbe- dürftigkeit auch im Rahmen eines somatisch nicht erklärbaren multilokulä- ren Schmerzsyndroms Vorschub leiste. Vor dem Hintergrund, dass gemäss Austrittsbericht der Reha F._____ der Sitz-/Stand-Übergang aktuell unter Supervision selbstständig wieder möglich gewesen sei, der Beschwerde- führer zuletzt am Rollator ca. 30 Meter habe laufen können, er beim Trep- pentraining ein halbes Stockwerk am Geländer mit einer Hilfe habe bewäl- tigen können und sich im Rahmen der Ergotherapie bei der Durchführung der Alltagstätigkeiten häufig eine Regredienz der körperlichen Symptome gezeigt und der Beschwerdeführer beide Arme gut habe einsetzen können, sei eine aktivierende (psychotherapeutische/physiotherapeutische/cothe- rapeutische) Haltung zu unterstützen. Ein potenziell symptomverstärken- der Gebrauch eines Hilfsmittels, wie es ein Handrollstuhl darstelle, könne daher aus fachpsychiatrischer Sicht nicht befürwortet werden. Nicht zuletzt auch, da dies dem ärztlich-therapeutischen Vorgehen, einer Defizitorientie- rung entgegenzuwirken, widerspreche (VB 348 S. 3). Es seien damit keine neuen Tatsachen geltend gemacht worden, welche die Abgabe eines Handrollstuhles aus medizinisch-psychiatrischer Sicht rechtfertigen würden (VB 348 S. 4).</w:t>
      </w:r>
    </w:p>
    <w:p>
      <w:r>
        <w:t>- 9 -</w:t>
      </w:r>
    </w:p>
    <w:p>
      <w:r>
        <w:rPr>
          <w:b/>
        </w:rPr>
        <w:t>E. 6.2.1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6.2.2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6.2.3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7.1</w:t>
      </w:r>
    </w:p>
    <w:p>
      <w:r>
        <w:t>Der Beschwerdeführer bringt im Wesentlichen mit Verweis auf die Ein- schätzungen seiner behandelnden Ärzte vor, er sei dringend auf einen Handrollstuhl angewiesen und ein solcher sei damit medizinisch indiziert (vgl. Beschwerde S. 4; 6 ff.). Es würden offenkundig Zweifel bestehen an den RAD-Beurteilung, weshalb sich diese nicht als Grundlage dafür eignen würden, ihm einen Handrollstuhl zu verweigern (vgl. Beschwerde S. 8 ff.). Es sei auf das estimed-Gutachten vom 11. März 2023 abzustellen. Darin seien die Gutachter interdisziplinär zum Schluss gekommen, dass der Be- schwerdeführer eine Arbeitsunfähigkeit in jedweder Tätigkeit von 100 % aufweise. Hierauf habe die Beschwerdegegnerin ihm eine ganze IV-Rente zugesprochen (vgl. Stellungnahme vom 25. September 2023 S. 1 f.). Aus</w:t>
      </w:r>
    </w:p>
    <w:p>
      <w:r>
        <w:t>- 10 - den Schlussfolgerungen der Gutachter ergebe sich zweifelsfrei und schlüs- sig das Angewiesensein des Beschwerdeführers auf einen Rollstuhl. So hätten die Gutachter die verbindliche Feststellung gemacht, dass in der Ge- samtkonstellation eine Rollstuhlpflicht und Hilfsbedürftigkeit bestehe. Die Feststellungen im Gutachten, insbesondere im rheumatologischen und psychiatrischen Teilgutachten, würden zum Schluss führen, dass im vorlie- genden Verfahren eine Rollstuhlpflicht bestehe (vgl. Stellungnahme vom 25. September 2023 S. 2 f.).</w:t>
      </w:r>
    </w:p>
    <w:p>
      <w:r>
        <w:rPr>
          <w:b/>
        </w:rPr>
        <w:t>E. 7.2</w:t>
      </w:r>
    </w:p>
    <w:p>
      <w:r>
        <w:t>In dem von der Beschwerdegegnerin in Auftrag gegebenen und im Rahmen des Beschwerdeverfahrens mit Eingabe vom 5. Juli 2023 eingereichten internistisch-neurologisch-neuropsychologisch-orthopädisch-psychiatri- schen estimed-Gutachten vom 11. März 2023 wurden nachfolgende Diag- nosen mit Auswirkung auf die Arbeitsfähigkeit gestellt (vgl. estimed-Gut- achten [Konsensbeurteilung] vom 11. März 2023 S. 16): "- Dissoziative Störung (Konversionsstörung) gemischt (ICD-10 F44.7) - Sonstige näher bezeichnete affektive Störung (chronifiziert) (ICD-10 F33.8)" In der Konsensbeurteilung wurde festgehalten, im Vordergrund sowohl der subjektiven als auch der objektivierbaren Befunde würden psychiatrische Diagnosen stehen, welche in ihrer Gesamtheit die Leistungsfähigkeit und die Arbeitsfähigkeit beeinträchtigen würden (vgl. estimed-Gutachten [Kon- sensbeurteilung] vom 11. März 2023 S. 18). Retrospektiv betrachtet be- stehe ein langjähriger Verlauf, wobei sich der Beginn bereits 1995 abge- zeichnet habe. Seit dieser Zeit sei der Beschwerdeführer auch nicht mehr ins Arbeitsleben eingetreten und ab 2010 habe doch eine deutliche Ein- schränkung bestanden. Wenngleich es kurzzeitig eine Besserung gegeben haben möge, sodass im ABI-Gutachten vom 4. April 2017 nur noch eine Einschränkung der Arbeitsfähigkeit von 25 % habe angenommen werden können, sei es im weiteren Verlauf zu einer Verschlechterung gekommen, die wohl 2018/2019 begonnen habe. Etwa seit Juli 2020 würden die heuti- gen Umstände bestehen (vgl. estimed-Gutachten [Konsensbeurteilung] vom 11. März 2023 S. 21 f.). Auf orthopädischem Gebiet sei deutlich er- kennbar, dass der erhebliche Tremor mit Steifigkeit des Bewegungsappa- rates keine flüssigen Bewegungsabläufe und im Rahmen dieser Begutach- tung keine geordnete Untersuchung zulasse. In der Gesamtkonstellation würden Rollstuhlpflicht und Hilfsbedürftigkeit bestehen. Auf psychiatri- schem Fachgebiet würde ein Gesundheitsschaden bestehen, der zu einer psychosozialen Funktionseinbusse mit Teilhabeproblematik führe, den Be- schwerdeführer in Aktivitäten des täglichen Lebens stark einschränke und eine Arbeitsfähigkeit auf dem ersten wie auf dem zweiten Arbeitsmarkt ver- unmögliche. Bedingt durch die dissoziative Störung könne beim Beschwer- deführer von einer Rollstuhlpflicht ausgegangen werden (vgl. estimed-Gut- achten [Konsensbeurteilung] vom 11. März 2023 S. 23).</w:t>
      </w:r>
    </w:p>
    <w:p>
      <w:r>
        <w:t>- 11 -</w:t>
      </w:r>
    </w:p>
    <w:p>
      <w:r>
        <w:rPr>
          <w:b/>
        </w:rPr>
        <w:t>E. 7.3</w:t>
      </w:r>
    </w:p>
    <w:p>
      <w:r>
        <w:t>Aufgrund des im Beschwerdeverfahren eingegangenen und zwischen den Parteien – ausweislich der Akten zu Recht (vgl. zum Beweiswert von Gut- achten: BGE 134 V 231 E. 5.1 S. 232; 125 V 351 E. 3a f. S. 352 f.) – hin- sichtlich dessen Beweiswerts unumstrittenen (vgl. Stellungnahme der Be- schwerdegegnerin vom 5. Juli 2023; Stellungnahme des Beschwerdefüh- rers vom 25. September 2023) estimed-Gutachtens vom 11. März 2023 – welches vorliegend zu berücksichtigen ist, auch wenn es erst nach dem Verfügungserlass datiert (vgl. zum verfahrensmässigen Endzeitpunkt des sachverhaltlich relevanten Geschehens BGE 143 V 409 E. 2.1 S. 411), da es (auch) den Gesundheitszustand des Beschwerdeführers vor der stritti- gen Verfügung betrifft (vgl. BGE 131 V 242 E. 2.1 S. 243; Urteil des Bun- desgerichts 9C_175/2018 vom 16. April 2018 E. 3.3.2) – bestehen damit Zweifel an den der vorliegend angefochtenen Verfügung vom 14. April 2021 (VB 349) als medizinische Grundlage dienenden RAD-Aktenbeurtei- lungen (vgl. E. 6.1. hiervor), womit darauf nicht abgestellt werden kann (vgl. E. 6.2.2. hiervor). Im estimed-Gutachten vom 11. März 2023 wurde zusammenfassend aus- geführt, dass eine Rollstuhlpflicht bestehe (vgl. estimed-Gutachten [Kon- sensbeurteilung] vom 11. März 2023 S. 23). Gestützt darauf ist die Notwen- digkeit der Rollstuhlversorgung im Grundsatz nachvollziehbar ausgewie- sen (vgl. E. 5. hiervor). Ob es sich bei dem am 24. März 2020 beantragten Rollstuhl (VB 315 S. 1 ff.) um eine einfache, zweckmässige und wirtschaft- liche Ausführung handelt (vgl. E. 5.3. und 5.5. hiervor), ergibt sich nicht aus den Akten, womit die Sache zur entsprechenden Abklärung und zur Abklä- rung betreffend die für einen Rollstuhl anfallenden Kosten an die Beschwer- degegnerin zurückzuweisen ist. Anschliessend hat diese neu über den An- spruch des Beschwerdeführers auf das beantragte Hilfsmittel zu verfügen.</w:t>
      </w:r>
    </w:p>
    <w:p>
      <w:r>
        <w:rPr>
          <w:b/>
        </w:rPr>
        <w:t>E. 8.1</w:t>
      </w:r>
    </w:p>
    <w:p>
      <w:r>
        <w:t>Nach dem Dargelegten ist die Beschwerde, soweit darauf einzutreten ist, in dem Sinne gutzuheissen, dass die angefochtene Verfügung vom 14. Ap- ril 2021 aufzuheben und die Sache zur weiteren Abklärung im Sinne der Erwägungen und zur Neuverfügung an die Beschwerdegegnerin zurückzu- weisen ist. Bei diesem Verfahrensausgang kann von der beantragten Durchführung einer öffentlichen Verhandlung (vgl. Rechtsbegehren Ziff. 3; Beschwerde S. 16) abgesehen werden (vgl. BGE 136 I 279 E. 1 S. 281; SVR 2017 IV Nr. 84, 8C_64/2017 E. 3.2).</w:t>
      </w:r>
    </w:p>
    <w:p>
      <w:r>
        <w:t>- 12 -</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rPr>
          <w:b/>
        </w:rPr>
        <w:t>E. 8.3</w:t>
      </w:r>
    </w:p>
    <w:p>
      <w:r>
        <w:t>Ausgangsgemäss hat der Beschwerdeführer Anspruch auf Ersatz seiner richterlich festzusetzenden Parteikosten (Art. 61 lit. g ATSG). Die Partei- kosten sind dem unentgeltlichen Rechtsvertreter zu bezahlen. Das Versicherungsgericht erkennt: 1. In teilweiser Gutheissung der Beschwerde, soweit darauf eingetreten wird, wird die Verfügung vom 14. April 2021 aufgehoben und die Sache wird zur weiteren Abklärung im Sinne der Erwägung und zur Neuverfügung an die Beschwerdegegnerin zurückgewiesen. 2. Die Verfahrenskosten von Fr. 400.00 werden der Beschwerdegegnerin auf- erlegt. 3. Die Beschwerdegegnerin wird verpflichtet, dem unentgeltlichen Rechtsver- treter des Beschwerdeführers die Parteikosten in richterlich festgesetzter Höhe von Fr. 1'663.95 zu bezahlen.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März 2024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