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VBE.2020.194 vom 10. September 2020</w:t>
      </w:r>
    </w:p>
    <w:p>
      <w:r>
        <w:t>Ag Versicherungsgericht, 2020-09-10, DE</w:t>
      </w:r>
    </w:p>
    <w:p>
      <w:r>
        <w:rPr>
          <w:b/>
        </w:rPr>
        <w:t xml:space="preserve">Quelle: </w:t>
      </w:r>
      <w:r>
        <w:t>https://mcp.opencaselaw.ch/entscheid/ag_versicherungsgericht_VBE.2020.194</w:t>
      </w:r>
    </w:p>
    <w:p>
      <w:r>
        <w:t>FR: AG_VERSICHERUNGSGERICHT VBE.2020.194 du 10 septembre 2020</w:t>
      </w:r>
    </w:p>
    <w:p>
      <w:r>
        <w:t>IT: AG_VERSICHERUNGSGERICHT VBE.2020.194 del 10 settembre 2020</w:t>
      </w:r>
    </w:p>
    <w:p>
      <w:pPr>
        <w:pStyle w:val="Heading2"/>
      </w:pPr>
      <w:r>
        <w:t>Regeste</w:t>
      </w:r>
    </w:p>
    <w:p>
      <w:r>
        <w:t>Ziff. 405 GgV-Anhang Die Leistungspflicht der Invalidenversicherung beschränkt sich nicht nur auf die Behandlung von Gesundheitsschäden, die zum Symptomkreis des Geburtsgebrechens gehören, sondern sie umfasst auch solche, die nach medizinischer Erfahrung Folge davon sind. Im Hinblick auf ein in sich schlüssiges Leistungssystem zwischen Kranken- und Invalidenversicherung ist im Zusammenhang mit der Verwendung von Inkontinenzmaterial (Windeln) im Sinne eines Behandlungsgerätes bei Stuhl- und Harninkontinenz am Tag das Mindestalter für die Annahme einer verzögerten Kontinenz auf 42 Monate und für die Nacht auf 5 Jahre festzusetzen.</w:t>
      </w:r>
    </w:p>
    <w:p>
      <w:pPr>
        <w:pStyle w:val="Heading2"/>
      </w:pPr>
      <w:r>
        <w:t>Erwägungen</w:t>
      </w:r>
    </w:p>
    <w:p>
      <w:r>
        <w:rPr>
          <w:b/>
        </w:rPr>
        <w:t>E. 5</w:t>
      </w:r>
    </w:p>
    <w:p>
      <w:r>
        <w:t>Zusammenfassend kommt dem Beschwerdeführer damit grundsätzlich ein Anspruch auf Kostenübernahme für Windeln am Tag ab dem 43. Altersmonat und für Windeln in der Nacht ab Vollendung des 5. Altersjahres zu. Da der am 30. November 2015 geborene Beschwerdeführer die letztere Altersschwelle noch nicht erreicht hat, ist die Beschwerde im Umfang des Anspruchs auf Kostenübernahme für Windeln in der Nacht abzuweisen. Hingegen hat der Beschwerdeführer die Altersgrenze für Kostenübernahme für Windeln am Tag am 29. Mai 2019 überschritten. Bei Anmeldung vom 10. August 2019 besteht ein Anspruch auf Kostenübernahme von Windeln am Tag ab dem 29. Mai 2019 (Art. 48 Abs. 1 IVG i.V.m. Art. 24 Abs. 1 ATSG).</w:t>
      </w:r>
    </w:p>
    <w:p>
      <w:r>
        <w:rPr>
          <w:b/>
        </w:rPr>
        <w:t>E. 6</w:t>
      </w:r>
    </w:p>
    <w:p>
      <w:r>
        <w:t>Art. 31 Abs. 1 lit. a AVIG; Art. 46b AVIV Es ist überspitzt formalistisch und damit unzulässig, den Anspruch auf Kurzarbeitsentschädigung bei einer vollständigen Geschäftsschliessung mit dem Hinweis auf das Fehlen der betrieblichen Arbeitszeitkontrolle als formelles Beweiserfordernis zu verneinen, obwohl der geltend gemachte Arbeitsausfall anhand anderer betrieblicher Unterlagen (vorliegend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