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VBE.2018.2 vom 14. August 2018</w:t>
      </w:r>
    </w:p>
    <w:p>
      <w:r>
        <w:t>Ag Versicherungsgericht, 2018-08-14, DE</w:t>
      </w:r>
    </w:p>
    <w:p>
      <w:r>
        <w:rPr>
          <w:b/>
        </w:rPr>
        <w:t xml:space="preserve">Quelle: </w:t>
      </w:r>
      <w:r>
        <w:t>https://mcp.opencaselaw.ch/entscheid/ag_versicherungsgericht_VBE.2018.2</w:t>
      </w:r>
    </w:p>
    <w:p>
      <w:r>
        <w:t>FR: AG_VERSICHERUNGSGERICHT VBE.2018.2 du 14 août 2018</w:t>
      </w:r>
    </w:p>
    <w:p>
      <w:r>
        <w:t>IT: AG_VERSICHERUNGSGERICHT VBE.2018.2 del 14 agosto 2018</w:t>
      </w:r>
    </w:p>
    <w:p>
      <w:pPr>
        <w:pStyle w:val="Heading2"/>
      </w:pPr>
      <w:r>
        <w:t>Regeste</w:t>
      </w:r>
    </w:p>
    <w:p>
      <w:r>
        <w:t>Art. 35 AVIG; Art. 57b AVIV Der Höchstanspruch auf Kurzarbeitsentschädigung beurteilt sich intertemporalrechtlich nach der materiellen Rechtslage respektive derjenigen Fassung der Verordnung, unter welcher sich der rechtserhebliche Sachverhalt überwiegend ereignet hat. Nicht entscheidend ist demgegenüber der Zeitpunkt der Voranmeldung zum Leistungsbezug. Dies ist vereinbar mit dem Zweck der befristeten Verlängerung der Höchstbezugsdauer aus wirtschaftspolitischen Gründen und stellt keine Verletzung des Vertrauensschutzes dar. Vorliegend war der Höchstanspruch auf Kurzarbeitsentschädigung bereits bezogen, sodass gestützt auf die massgebliche Fassung der Verordnung kein weiterer Anspruch auf Kurzarbeitsentschädigung bestand.</w:t>
      </w:r>
    </w:p>
    <w:p>
      <w:pPr>
        <w:pStyle w:val="Heading2"/>
      </w:pPr>
      <w:r>
        <w:t>Erwägungen</w:t>
      </w:r>
    </w:p>
    <w:p>
      <w:r>
        <w:rPr>
          <w:b/>
        </w:rPr>
        <w:t>E. 31</w:t>
      </w:r>
    </w:p>
    <w:p>
      <w:r>
        <w:t>Dezember 2018 gekürzten Karenzdauer nicht ersichtlich. Diese hat zudem im Unterschied zur Verkürzung der Karenzdauer mit Verordnung vom 13.Januar 2016 eine andere gesetzliche Grundlage (vgl. AS 2016 351, Ziff.I Art.50 Abs.3 aAVIV; AS 2017 3693 Ziff.I Art.50 Abs.2 AVIV). 3.5. Ebenso vermag die Beschwerdeführerin nichts zu ihren Gunsten aus der (…) eingereichten Medienmitteilung des Staatssekretariats für Wirtschaft seco vom 31.Mai 2018 abzuleiten. In der betreffenden Medienmitteilung hielt das seco im Wesentlichen fest, dass ab dem 22.August 2018 Gesuche um Kurzarbeitsentschädigung mit der Be gründung der Frankenstärke nicht mehr anerkannt würden. Demge genüber ist der – für das Sozialversicherungsgericht ohnehin nicht verbindlichen (vgl. BGE 144 V 195 E.4.2 mit Hinweisen) – besagten Verwaltungsweisung keine Grundlage zu entnehmen, welche die Zusprache von Kurzarbeitsentschädigung für mehr als 12 Abrechnungsperioden zu rechtfertigen vermöchte. Vielmehr richtet sich ab dem 1.August 2017 der maximale Anspruch auf Kurzarbeitsentschädigung nach Art.35 Abs.1 AVIG (vgl. E.3.1.). Die Medienmitteilung des seco steht denn auch explizit unter dem Vorbehalt der Erfüllung der Anspruchsvoraussetzungen.</w:t>
      </w:r>
    </w:p>
    <w:p>
      <w:r>
        <w:t>3.6. Schliesslich ist entgegen den Ausführungen der Beschwer deführerin (…) keine Verletzung des Vertrauensschutzes ersichtlich. Die Verlängerung der Höchstdauer der Kurzarbeitsentschädigung gemäss Art.57b aAVIV wurde vom Bundesrat beim Erlass auf den 31.Juli 2017 befristet (AS 2016 352, Ziff.II Abs.2), weshalb die Verordnungsbestimmung bereits deshalb keine entsprechende Ver trauensgrundlage darzustellen vermag (vgl. E.2.4.). Ebenso begründen die Verfügungen des Amtes C. keine entsprechende Ver trauensgrundlage, zumal sie nicht von der Beschwerdegegnerin selbst erlassen wurden (nicht dieselbe Behörde), jeweils unter dem expliziten Vorbehalt der Erfüllung aller (weiteren) Anspruchs voraussetzungen erfolgten und überdies als Anhang das Merkblatt „Kurzinformation: Kurzarbeitsentschädigung“ vom 5.Juli 2017 enthielten (…). In diesem Merkblatt wurde darauf hingewiesen, dass die Verlängerung der Kurzarbeitsentschädigung vom Bundesrat mit Verordnung vom 28.Juni 2017 (AS 2017 3693f.) nicht verlängert worden sei. Schliesslich erfolgte per 1.August 2017 mit dem ausser Kraft treten von Art.57b aAVIV zusätzlich eine Änderung der gesetzlichen Ordnung, sodass die Berufung auf Vertrauensschutz aus Treu und Glauben (vgl. E.2.4.) offensichtlich nicht stichhaltig ist. 3.7. Zusammenfassend hat die Beschwerdegegnerin hinsichtlich des Höchstanspruchs auf Kurzarbeitsentschädigung der Beschwerde führerin ab dem 1.August 2017 zu Recht auf Art.35 Abs.1 AVIG abgestellt und den in diesem Zeitpunkt ausser Kraft stehenden Art.57b aAVIV nicht berücksichtigt. Da an die Beschwerdeführerin ausweislich der Akten per 1.August 2017 bereits 12 Abrechnungspe rioden Kurzarbeitsentschädigung ausgerichtet wurden (…), verneinte die Beschwerdegegnerin einen weitergehenden Leistungsanspruch daher zu Recht.</w:t>
      </w:r>
    </w:p>
    <w:p>
      <w:r>
        <w:t>3 Art.17 Abs.1 IVG; Art.28a Abs.3 IVG; Art.27bis IVV Rentenrevision infolge Statuswechsel: Mit der ab 1.Januar 2018 gelten den Fassung von Art.27bis IVV und der dadurch geänderten Berechnungsart wurde dem Urteil des Europäischen Gerichtshofes für Menschenrechte in Sachen DiTrizio gegen die Schweiz Rechnung getra gen. Namentlich fällt die bisherige doppelte Berücksichtigung der Teiler werbstätigkeit weg. Seither besteht kein Anlass mehr, dem Urteil DiTrizio gleich oder ähnlich gelagerte Fälle generell von einer Revision auszuschliessen, selbst wenn der Statuswechsel die einzige wesentliche Veränderung der tatsächlichen Verhältnisse im Sinne von Art.17 Abs. 1 ATSG darstellt. Anwendung der gemischten Methode. Aus dem Entscheid des Versicherungsgerichts, 2. Kammer, vom 12.Dezember 2018, i.S. N.L. gegen SVA Aargau, IV Stelle (VBE.2018.385). Aus den Erwägungen 1. Die Beschwerdegegnerin erachtete mit angefochtener Verfü gung vom 20.April 2018 einen Revisionsgrund mit der Begründung der familiär bedingten Reduktion der Arbeitszeit von 100 % auf ein 40%iges Pensum als gegeben. Sie nahm dabei implizit auf das IV Rundschreiben Nr. 372 vom 9. Januar 2018 Bezug. Demnach führt das seit 1. Januar 2018 anwendbare Modell zur Berechnung des IV Grades für Teilerwerbstätige mit Aufgabenbereich grundsätzlich nicht mehr zu einer Schlechterstellung gegenüber Vollerwerbstätigen. Folglich könne zukünftig trotz des Urteils des Europäischen Gerichtshofs für Menschenrechte (EGMR) vom 2. Februar 2016 in Sachen Di Trizio gegen Schweiz (7186/09, nachfolgend: Urteil DiTrizio) der Statuswechsel wieder als möglicher Revisionsgrund herangezogen werden. Demgegenüber hält die Beschwerdeführerin fest, die Anwen dung der revidierten gemischten Methode führe vorliegend zu einem erheblichen Nachteil in Form des vollständigen Verlusts des Rentenanspruchs. Die geltende Fassung des Art. 27bis Abs. 3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