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VBE.2016.50 vom 16. Juni 2016</w:t>
      </w:r>
    </w:p>
    <w:p>
      <w:r>
        <w:t>Ag Versicherungsgericht, 2016-06-16, DE</w:t>
      </w:r>
    </w:p>
    <w:p>
      <w:r>
        <w:rPr>
          <w:b/>
        </w:rPr>
        <w:t xml:space="preserve">Quelle: </w:t>
      </w:r>
      <w:r>
        <w:t>https://mcp.opencaselaw.ch/entscheid/ag_versicherungsgericht_VBE.2016.50</w:t>
      </w:r>
    </w:p>
    <w:p>
      <w:r>
        <w:t>FR: AG_VERSICHERUNGSGERICHT VBE.2016.50 du 16 juin 2016</w:t>
      </w:r>
    </w:p>
    <w:p>
      <w:r>
        <w:t>IT: AG_VERSICHERUNGSGERICHT VBE.2016.50 del 16 giugno 2016</w:t>
      </w:r>
    </w:p>
    <w:p>
      <w:pPr>
        <w:pStyle w:val="Heading2"/>
      </w:pPr>
      <w:r>
        <w:t>Regeste</w:t>
      </w:r>
    </w:p>
    <w:p>
      <w:r>
        <w:t>Art. 5 und 64 MVG Haftung der Militärversicherung für eine während der Rekrutenschule erstmals aufgetretene Bechterew-Erkrankung bejaht, da der Entlastungsbeweis nach Art. 5 Abs. 2 MVG nicht erbracht werden konnte.</w:t>
      </w:r>
    </w:p>
    <w:p>
      <w:pPr>
        <w:pStyle w:val="Heading2"/>
      </w:pPr>
      <w:r>
        <w:t>Erwägungen</w:t>
      </w:r>
    </w:p>
    <w:p>
      <w:r>
        <w:rPr>
          <w:b/>
        </w:rPr>
        <w:t>E. 5</w:t>
      </w:r>
    </w:p>
    <w:p>
      <w:r>
        <w:t>Die Beschwerdegegnerin bringt eventualiter vor, der anlässlich der Rekrutenschule aufgetretene Schub sei spätestens Ende Novem ber / Anfang Dezember 2013 nach einem beschwerde und behand lungsfreien Intervall behoben gewesen, womit die allfällige Haftung ende. Nach dem in Erwägung 4.3. Festgestellten gelingt der Be schwerdegegnerin der Entlastungsbeweis nach Art.5 Abs.2 lit.a MVG nicht. Somit besteht gemäss Abs.3 kein Raum für eine Ver schlimmerungshaftung. Ferner verfängt der Verweis auf JÜRG MAESCHI (a.a.O., N.14 zu Art.6 MVG) nicht. Art.6 MVG behan delt die Feststellung von Gesundheitsschädigungen nach dem Dienst. Vorliegend wurde diese aber während des Dienstes festgestellt. So dann berichtete Dr. med. M. nur von einer Remission, was ein Nach lassen der Krankheitszeichen ist (Pschyrembel, Klinisches Wörter buch, 266.Aufl. 2014, S.1830), aber keine Heilung. Entsprechend</w:t>
      </w:r>
    </w:p>
    <w:p>
      <w:r>
        <w:t>äusserte sich auch Dr. med. T; die Bechterew Erkrankung sei nicht heilbar. Im Zeitpunkt der Begutachtung führte Dr. T die Beschwerden "weniger" auf eine aktive Entzündung als auf eine Überlastung im lumbosacralen Übergang bei nachgewiesener leichter Spondylolis thesis zurück. Der Hinweis der Beschwerdegegnerin auf die Bech terew fremden Beschwerden ändert ebenfalls nichts an der grundsätzlichen Haftung der Beschwerdegegnerin, die sich nur auf die Bechterew Erkrankung beschränkt.</w:t>
      </w:r>
    </w:p>
    <w:p>
      <w:r>
        <w:rPr>
          <w:b/>
        </w:rPr>
        <w:t>E. 6</w:t>
      </w:r>
    </w:p>
    <w:p>
      <w:r>
        <w:t>Art. 49 Abs. 4 ATSG, Art. 21 Abs. 1 lit. c UVG Die Krankenversicherung ist auf Grund ihrer in gewissem Umfang an den Leistungsentscheid des Unfallversicherers betreffend Übernahme von Heilbehandlung nach Fallabschluss gekoppelten Leistungspflicht berührt und damit legitimiert, den Leistungsentscheid zu Ungunsten der ver sicherten Person durch Beschwerde beim kantonalen Gericht anzufech ten Aus dem Entscheid des Versicherungsgerichts, 2. Kammer, vom 25. Februar 2016, i.S. Krankenversicherer B. gegen Unfallversicherer F. (VBE.2015.664) Aus den Erwägungen 3. 3.1.</w:t>
      </w:r>
    </w:p>
    <w:p>
      <w:r>
        <w:rPr>
          <w:b/>
        </w:rPr>
        <w:t>E. 6.1</w:t>
      </w:r>
    </w:p>
    <w:p>
      <w:r>
        <w:t>Zusammengefasst ist die Beschwerde gutzuheissen und der angefochtene Einspracheentscheid aufzuheben. Die Beschwerdegeg nerin haftet für die Gesundheitsschädigung (Bechterew Erkrankung)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