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SST.2025.61 vom 16. Juni 2025</w:t>
      </w:r>
    </w:p>
    <w:p>
      <w:r>
        <w:t>Ag Strafgericht, 2025-06-16, DE</w:t>
      </w:r>
    </w:p>
    <w:p>
      <w:r>
        <w:rPr>
          <w:b/>
        </w:rPr>
        <w:t xml:space="preserve">Quelle: </w:t>
      </w:r>
      <w:r>
        <w:t>https://mcp.opencaselaw.ch/entscheid/ag_strafgericht_SST.2025.61</w:t>
      </w:r>
    </w:p>
    <w:p>
      <w:r>
        <w:t>FR: AG_STRAFGERICHT SST.2025.61 du 16 juin 2025</w:t>
      </w:r>
    </w:p>
    <w:p>
      <w:r>
        <w:t>IT: AG_STRAFGERICHT SST.2025.61 del 16 giugno 2025</w:t>
      </w:r>
    </w:p>
    <w:p>
      <w:pPr>
        <w:pStyle w:val="Heading2"/>
      </w:pPr>
      <w:r>
        <w:t>Erwägungen</w:t>
      </w:r>
    </w:p>
    <w:p>
      <w:r>
        <w:rPr>
          <w:b/>
        </w:rPr>
        <w:t>E. 1.1</w:t>
      </w:r>
    </w:p>
    <w:p>
      <w:r>
        <w:t>Das Bezirksgericht Baden verurteilte A._____ mit Urteil vom 28. Januar 2012 unter anderem wegen Mordes, mehrfachen, teilweise versuchten und qualifizierten Raubs und versuchter qualifizierter Brandstiftung zu einer Freiheitsstrafe von 20 Jahren. Zudem ordnete es eine strafvollzugs- begleitende ambulante Massnahme zur Behandlung von psychischen Störungen gemäss Art. 63 StGB an. Mit Beschluss vom 6. März 2019 verlängerte es die ambulante Massnahme um 5 Jahre.</w:t>
      </w:r>
    </w:p>
    <w:p>
      <w:r>
        <w:rPr>
          <w:b/>
        </w:rPr>
        <w:t>E. 1.2</w:t>
      </w:r>
    </w:p>
    <w:p>
      <w:r>
        <w:t>Das Amt für Justizvollzug hob mit in Rechtskraft erwachsener Verfügung vom 20. Oktober 2021 die ambulante Massnahme infolge Aussichtslosig- keit «suspensiv» auf den Zeitpunkt hin auf, an dem gerichtlich über den Antrag der Vollzugsbehörde auf Anordnung einer stationären Massnahme entschieden wurde. Das Bezirksgericht Baden ordnete anstelle der ambulanten Massnahme (und anstelle des Strafvollzugs) mit Beschluss vom 31. März 2022 eine stationäre therapeutische Massnahme nach Art. 59 StGB an.</w:t>
      </w:r>
    </w:p>
    <w:p>
      <w:r>
        <w:rPr>
          <w:b/>
        </w:rPr>
        <w:t>E. 2.1</w:t>
      </w:r>
    </w:p>
    <w:p>
      <w:r>
        <w:t>Die obergerichtlichen Verfahrenskosten von Fr. 5'000.00 werden dem Verurteilten auferlegt.</w:t>
      </w:r>
    </w:p>
    <w:p>
      <w:r>
        <w:rPr>
          <w:b/>
        </w:rPr>
        <w:t>E. 2.2</w:t>
      </w:r>
    </w:p>
    <w:p>
      <w:r>
        <w:t>Die Obergerichtskasse wird angewiesen, dem amtlichen Verteidiger des Verurteilten für das Berufungsverfahren eine Entschädigung von Fr. 8'550.00 auszurichten. Diese Entschädigung wird vom Verurteilten zurückgefordert, sobald es seine wirtschaftlichen Verhältnisse erlauben. 3.</w:t>
      </w:r>
    </w:p>
    <w:p>
      <w:r>
        <w:rPr>
          <w:b/>
        </w:rPr>
        <w:t>E. 2.3</w:t>
      </w:r>
    </w:p>
    <w:p>
      <w:r>
        <w:t>Am 17. Dezember 2024 ordnete das Bezirksgericht Baden gestützt auf Art. 62c Abs. 4 StGB i.V.m. Art. 64 Abs. 1 StGB die Verwahrung des Verur- teilten an und entschied über die Kosten- und Entschädigungsfolgen.</w:t>
      </w:r>
    </w:p>
    <w:p>
      <w:r>
        <w:rPr>
          <w:b/>
        </w:rPr>
        <w:t>E. 3.1</w:t>
      </w:r>
    </w:p>
    <w:p>
      <w:r>
        <w:t>Die erstinstanzlichen Verfahrenskosten von Fr. 5'887.30 werden dem Verurteilten auferlegt.</w:t>
      </w:r>
    </w:p>
    <w:p>
      <w:r>
        <w:rPr>
          <w:b/>
        </w:rPr>
        <w:t>E. 3.2</w:t>
      </w:r>
    </w:p>
    <w:p>
      <w:r>
        <w:t>Die vorinstanzliche Gerichtskasse wird – sofern nicht bereits erfolgt – angewiesen, der früheren amtlichen Verteidigerin des Verurteilten,</w:t>
      </w:r>
    </w:p>
    <w:p>
      <w:r>
        <w:t>- 13 - Rechtsanwältin G._____, für das erstinstanzliche Verfahren eine Entschädigung von Fr. 16'558.70 auszurichten. Diese Entschädigung wird vom Verurteilten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16. Juni 2025 Obergericht des Kantons Aargau Strafgericht, 1. Kammer Der Präsident: Die Gerichtsschreiberin: Six Sprenger</w:t>
      </w:r>
    </w:p>
    <w:p>
      <w:r>
        <w:rPr>
          <w:b/>
        </w:rPr>
        <w:t>E. 3.3</w:t>
      </w:r>
    </w:p>
    <w:p>
      <w:r>
        <w:t>Die Kostenverteilung der Vorinstanz bedarf keiner Anpassung. Sie erweist sich als korrekt (Art. 428 Abs. 3 StPO i.V.m. Art. 426 Abs. 5 StPO).</w:t>
      </w:r>
    </w:p>
    <w:p>
      <w:r>
        <w:rPr>
          <w:b/>
        </w:rPr>
        <w:t>E. 3.4</w:t>
      </w:r>
    </w:p>
    <w:p>
      <w:r>
        <w:t>Die der früheren amtlichen Verteidigerin für das erstinstanzliche Verfahren ausgerichtete Entschädigung von Fr. 16'558.70 wurde nicht angefochten, weshalb darauf im Berufungsverfahren nicht mehr zurückzukommen ist. Diese Entschädigung ist vom Verurteilten zurückzufordern, sobald es seine wirtschaftlichen Verhältnisse erlauben (Art. 135 Abs. 4 StGB).</w:t>
      </w:r>
    </w:p>
    <w:p>
      <w:r>
        <w:rPr>
          <w:b/>
        </w:rPr>
        <w:t>E. 4</w:t>
      </w:r>
    </w:p>
    <w:p>
      <w:r>
        <w:t>Tritt das Berufungsgericht auf die Berufung ein, so fällt es ein neues Urteil, welches das erstinstanzliche Urteil ersetzt (Art. 408 Abs. 1 StPO, Art. 81 StPO). Das Obergericht erkennt: 1. Der Verurteile wird gestützt auf Art. 62c Abs. 4 StGB i.V.m. Art. 64 Abs. 1 StGB verwahrt.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