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SST.2024.55 vom 21. August 2024</w:t>
      </w:r>
    </w:p>
    <w:p>
      <w:r>
        <w:t>Ag Strafgericht, 2024-08-21, DE</w:t>
      </w:r>
    </w:p>
    <w:p>
      <w:r>
        <w:rPr>
          <w:b/>
        </w:rPr>
        <w:t xml:space="preserve">Quelle: </w:t>
      </w:r>
      <w:r>
        <w:t>https://mcp.opencaselaw.ch/entscheid/ag_strafgericht_SST.2024.55</w:t>
      </w:r>
    </w:p>
    <w:p>
      <w:r>
        <w:t>FR: AG_STRAFGERICHT SST.2024.55 du 21 août 2024</w:t>
      </w:r>
    </w:p>
    <w:p>
      <w:r>
        <w:t>IT: AG_STRAFGERICHT SST.2024.55 del 21 agosto 2024</w:t>
      </w:r>
    </w:p>
    <w:p>
      <w:pPr>
        <w:pStyle w:val="Heading2"/>
      </w:pPr>
      <w:r>
        <w:t>Erwägungen</w:t>
      </w:r>
    </w:p>
    <w:p>
      <w:r>
        <w:rPr>
          <w:b/>
        </w:rPr>
        <w:t>E. 5</w:t>
      </w:r>
    </w:p>
    <w:p>
      <w:r>
        <w:t>Die Vorinstanz hat den Beschuldigten zu einer Busse von Fr. 200.00, ersatzweise 2 Tage Freiheitsstrafe, verurteilt. Der Beschuldigte setzt sich in seiner Berufung in keiner Weise mit der vorinstanzlichen Strafzumessung auseinander (vgl. Berufungsbegrün- dung). Da er die Höhe der Übertretungsbusse somit nicht beanstandet, kann diesbezüglich auf die unbestritten gebliebenen Ausführungen der Vorinstanz verwiesen werden (vorinstanzliches Urteil E. 3.2). Die von der Vorinstanz ausgesprochene Busse von Fr. 200.00 befindet sich am unteren Ende des zulässigen Strafrahmens von bis zu Fr. 10'000.00 (Art. 106 Abs. 1 StGB) und kann auch bei Annahme eines noch leichten Verschuldens, von welchem die Vorinstanz ausgegangen ist (vorinstanzli- ches Urteil E. 3.2.2), nicht herabgesetzt werden. Eine Erhöhung verbietet sich aufgrund des Verschlechterungsverbots (Art. 391 Abs. 2 StPO).</w:t>
      </w:r>
    </w:p>
    <w:p>
      <w:r>
        <w:rPr>
          <w:b/>
        </w:rPr>
        <w:t>E. 6.1</w:t>
      </w:r>
    </w:p>
    <w:p>
      <w:r>
        <w:t>Die Berufung des Beschuldigten erweist sich als unbegründet und ist abzuweisen. Ausgangsgemäss sind ihm die obergerichtlichen Verfahrens- kosten von Fr. 3'000.00 vollumfänglich aufzuerlegen (Art. 428 Abs. 1 StPO; § 18 VKD; vgl. § 29 GebührD) und er hat keinen Anspruch auf eine Entschädigung (Art. 436 Abs. 1 i.V.m. Art. 429 Abs. 1 StPO e contrario). Betreffend die erstinstanzliche Kostenregelung ist festzustellen, dass der Beschuldigte verurteilt wird und deshalb die Verfahrenskosten zu tragen hat (Art. 428 Abs. 3 i.V.m. Art. 426 Abs. 1 StPO). Er hat ausgangsgemäss keinen Anspruch auf eine Entschädigung (Art. 429 Abs. 1 StPO e contrario).</w:t>
      </w:r>
    </w:p>
    <w:p>
      <w:r>
        <w:rPr>
          <w:b/>
        </w:rPr>
        <w:t>E. 6.2</w:t>
      </w:r>
    </w:p>
    <w:p>
      <w:r>
        <w:t>Tritt das Berufungsgericht, wie vorliegend, auf die Berufung ein, so fällt es ein neues Urteil, welches das erstinstanzliche Urteil ersetzt (Art. 408 Abs. 1 StPO, Art. 81 StPO). Dies ist auch der Fall, wenn eine Berufung vollumfänglich abgewiesen wird (Urteil des Bundesgerichts 6B_761/2017 vom 17. Januar 2018 E. 4 mit Hinweisen).</w:t>
      </w:r>
    </w:p>
    <w:p>
      <w:r>
        <w:t>- 8 - Das Obergericht erkennt: 1. Der Beschuldigte ist der Verletzung der Verkehrsregeln zufolge Vornahme einer Verrichtung, welche die Bedienung des Fahrzeugs erschwert, gemäss Art. 90 Abs. 1 SVG i.V.m. Art. 31 Abs. 1 SVG und Art. 3 Abs. 1 VRV schuldig. 2. Er wird hierfür gemäss Art. 90 Abs. 1 SVG sowie in Anwendung von Art. 102 Abs. 1 SVG, Art. 47 StGB und Art. 106 StGB zu einer Busse von Fr. 200.00, ersatzweise 2 Tage Freiheitsstrafe, verurteilt. 3. 3.1. Die obergerichtlichen Verfahrenskosten von Fr. 3'000.00 werden dem Beschuldigten auferlegt. Der Beschuldigte hat seine Parteikosten für das Berufungsverfahren selbst zu tragen. 3.2. Die erstinstanzlichen Verfahrenskosten von Fr. 1'349.00 (inkl. Anklage- gebühr von Fr. 500.00) werden dem Beschuldigten auferlegt. Der Beschuldigte hat seine erstinstanzlichen Parteikosten selbst zu tragen. Zustellung an: […]</w:t>
      </w:r>
    </w:p>
    <w:p>
      <w:r>
        <w:t>- 9 -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21. August 2024 Obergericht des Kantons Aargau Strafgericht, 3. Kammer Der Präsident: Die Gerichtsschreiberin i.V.: Six Bekaj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