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SST.2024.195 vom 19. August 2025</w:t>
      </w:r>
    </w:p>
    <w:p>
      <w:r>
        <w:t>Ag Strafgericht, 2025-08-19, DE</w:t>
      </w:r>
    </w:p>
    <w:p>
      <w:r>
        <w:rPr>
          <w:b/>
        </w:rPr>
        <w:t xml:space="preserve">Quelle: </w:t>
      </w:r>
      <w:r>
        <w:t>https://mcp.opencaselaw.ch/entscheid/ag_strafgericht_SST.2024.195</w:t>
      </w:r>
    </w:p>
    <w:p>
      <w:r>
        <w:t>FR: AG_STRAFGERICHT SST.2024.195 du 19 août 2025</w:t>
      </w:r>
    </w:p>
    <w:p>
      <w:r>
        <w:t>IT: AG_STRAFGERICHT SST.2024.195 del 19 agosto 2025</w:t>
      </w:r>
    </w:p>
    <w:p>
      <w:pPr>
        <w:pStyle w:val="Heading2"/>
      </w:pPr>
      <w:r>
        <w:t>Erwägungen</w:t>
      </w:r>
    </w:p>
    <w:p>
      <w:r>
        <w:rPr>
          <w:b/>
        </w:rPr>
        <w:t>E. 5</w:t>
      </w:r>
    </w:p>
    <w:p>
      <w:r>
        <w:t>Mai 2021) ist auf die Freiheitsstrafe anzurechnen (Art. 51 Abs. 1 StGB). 4.3. Der Beschuldigte rügt eine Verletzung des Beschleunigungsgebots. Die hiesigen Behörden hätten am 6. Juli 2020 das Verfahren übernommen, die Anklageerhebung sei jedoch erst am 9. Februar 2023 erfolgt. Bis zur Hauptverhandlung habe es ¾ Jahr gedauert. Nachdem die Berufungsanmeldung am 1. Februar 2024 eingereicht worden sei, sei das begründete vorinstanzliche Urteil erst am 19. August 2024 zugestellt worden. Auch zwischen der Berufungserklärung und der Berufungs- verhandlung sei wiederum fast ein Jahr verstrichen (Plädoyer Beschuldigter, Ziff. 5.1/1, S. 10). Das Bundesgericht hat die Grundsätze des Beschleunigungsgebots wiederholt dargelegt (statt vieler: Urteile des Bundesgerichtes 6B_1399/2021 vom 7. Dezember 2022 E. 4.2; BGE 143 IV 373). Darauf kann verwiesen werden. Wie die Vorinstanz bereits korrekt festgehalten hat (vorinstanzliches Urteil, E. IV/2.3.2.4, S. 89), wurde das Beschleunigungsgebot im Untersuchungs- verfahren bis und mit der zweiten erstinstanzlichen Hauptverhandlung nicht verletzt. Der amtliche Verteidiger bringt in seinem vorinstanzlichen Plädoyer selbst vor, dass das Verfahren aufgrund der internationalen</w:t>
      </w:r>
    </w:p>
    <w:p>
      <w:r>
        <w:t>- 19 - Verflechtung und den rechtshilfeweisen Einvernahmen von in Deutschland involvierten Personen aufwendig war. Unter Berücksichtigung, dass der Beschuldigte von seinem Aussageverweigerungsrecht Gebrauch gemacht hatte, war unter anderem die rechtshilfeweise Einvernahme von E._____ umso wichtiger. Diese konnte schliesslich am 23. Dezember 2022 stattfinden, worauf die Staatsanwaltschaft am 9. Februar 2023 Anklage erhob. Dass nach der ersten erstinstanzlichen Hauptverhandlung vom</w:t>
      </w:r>
    </w:p>
    <w:p>
      <w:r>
        <w:rPr>
          <w:b/>
        </w:rPr>
        <w:t>E. 5.1</w:t>
      </w:r>
    </w:p>
    <w:p>
      <w:r>
        <w:t>Die obergerichtlichen Verfahrenskosten von Fr. 4'000.00 werden dem Beschuldigten zu 7/8 mit Fr. 3'500.00 auferlegt und im Übrigen auf die Staatskasse genommen.</w:t>
      </w:r>
    </w:p>
    <w:p>
      <w:r>
        <w:rPr>
          <w:b/>
        </w:rPr>
        <w:t>E. 5.2</w:t>
      </w:r>
    </w:p>
    <w:p>
      <w:r>
        <w:t>Die Obergerichtskasse wird angewiesen, dem amtlichen Verteidiger des Beschuldigten für das Berufungsverfahren eine Entschädigung von Fr. 7'065.00 auszurichten. Diese Entschädigung wird vom Beschuldigten zu 7/8 zurückgefordert, sobald es seine wirtschaftlichen Verhältnisse erlauben. 6. 6.1. Die erstinstanzlichen Verfahrenskosten von Fr. 9'313.45 (inkl. Anklage- gebühr von Fr. 2'300.00) werden dem Beschuldigten auferlegt. 6.2. Die erstinstanzliche Gerichtskasse wird – soweit noch keine Auszahlung erfolgt ist – angewiesen, dem amtlichen Verteidiger für das erstinstanzliche Verfahren eine Entschädigung von Fr. 20'238.85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w:t>
      </w:r>
    </w:p>
    <w:p>
      <w:r>
        <w:t>- 24 -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19. August 2025 Obergericht des Kantons Aargau Strafgericht, 1. Kammer Der Präsident: Die Gerichtsschreiberin: Six L. Stierli</w:t>
      </w:r>
    </w:p>
    <w:p>
      <w:r>
        <w:rPr>
          <w:b/>
        </w:rPr>
        <w:t>E. 5.3</w:t>
      </w:r>
    </w:p>
    <w:p>
      <w:r>
        <w:t>Fällt das Obergericht selbst einen neuen Entscheid, so befindet sie darin auch über die von der Vorinstanz getroffene Kostenregelung (Art. 428 Abs. 3 StPO). Gemäss Art. 426 Abs. 1 StPO trägt der Beschuldigte die Verfahrenskosten, wenn er verurteilt wird. Wird der Beschuldigte nur teilweise schuldig gesprochen, so sind ihm die Verfahrenskosten anteilsmässig aufzuerlegen, d.h., es hat eine quotenmässige Aufteilung zu erfolgen. Dem Beschuldigten dürfen aber auch bei einem teilweisen Freispruch oder teilweisen Einstellungen dann die gesamten Verfahrens- kosten auferlegt werden, wenn die ihm zu Last gelegten Handlungen in einem engen und direkten Zusammenhang stehen und alle Untersuchungshandlungen hinsichtlich jedes Anklagepunkts notwendig waren (statt vieler: Urteil des Bundesgerichts 6B_794/2024 vom 8. Januar 2025 E. 2.4.1 f. mit Hinweisen). Vorliegend erfolgt ein Freispruch betreffend «Haku» und «Gelato». Dieser Vorwurf stand jedoch in einem engen und direkten Zusammenhang mit den weiteren dem Beschuldigten vorgeworfenen Widerhandlungen gegen das Betäubungsmittelgesetz in Bezug auf C._____. Entsprechend waren alle Untersuchungshandlungen notwendig und der Vorwurf betreffend «Haku» und «Gelato» hat nicht zu ausscheidbaren Mehrkosten geführt. Es rechtfertigt sich deshalb, dem Beschuldigten die vorinstanzlichen Kosten vollständig aufzuerlegen.</w:t>
      </w:r>
    </w:p>
    <w:p>
      <w:r>
        <w:t>- 21 -</w:t>
      </w:r>
    </w:p>
    <w:p>
      <w:r>
        <w:rPr>
          <w:b/>
        </w:rPr>
        <w:t>E. 5.4</w:t>
      </w:r>
    </w:p>
    <w:p>
      <w:r>
        <w:t>Die dem amtlichen Verteidiger für das erstinstanzliche Verfahren zuge- sprochene Entschädigung von Fr. 20'238.85 ist mit Berufung grundsätzlich nicht angefochten worden. Der amtliche Verteidiger rügt jedoch, dass die Vorinstanz in ihrem begründeten Urteil gegenüber dem im Dispositiv zugestellten Urteil die Passage «Über eine allfällige Nachzahlung des nichtgewährten Kostenanteils des Honorars im Umfang von Fr. 1'386.70 (zuzüglich Mehrwertsteuer) wird auf Antrag nach rechtskräftigem Abschluss des Normenkontrollverfahrens entschieden» gestrichen habe (Berufungsbegründung, S. 4; vgl. Vorinstanz, E. IV [recte VI]/1.3, S. 94). Hinsichtlich dieser vorgemerkten «Nachzahlung» bleibt festzuhalten, dass die Festsetzung der Entschädigung im Entscheid zu erfolgen hat und Anwendung des Anwaltstarifs im Einzelfall ist, weshalb für einen Vorbehalt, eine bedingte Zusprechung oder eine Nachzahlung keine gesetzliche Grundlage und auch gar keine Notwendigkeit besteht. Dem auf Beschwerde in einem konkreten Fall hin ergangenen Urteil des Bundes- gerichts 6B_168/2024 vom 27. März 2025 E. 2.4.2 kann hinsichtlich nicht angefochtener Entschädigungen keine Wirkung zukommen, zumal es sich nicht um ein Normenkontrollverfahren gehandelt hat. Die vorliegende Berufung wurde ausdrücklich im Namen und Auftrag des Beschuldigten angemeldet und erklärt. Entsprechend ist die vorinstanzlich festgesetzte Entschädigung des amtlichen Verteidigers im Berufungsverfahren nicht zu überprüfen, da gegen den Entschädigungsentscheid der amtliche Verteidiger persönlich das Rechtsmittel ergreifen muss (vgl. Art. 135 Abs. 3 StPO). Somit ist auf die im erstinstanzlichen Verfahren zugesprochene Entschädigung von Fr. 20'238.85 im Berufungsverfahren nicht zurück- zukommen. Diese Entschädigung ist vom Beschuldigten zurückzufordern, sobald es seine wirtschaftlichen Verhältnisse erlauben (Art. 135 Abs. 4 StPO). 6. Tritt das Berufungsgericht, wie vorliegend, auf die Berufung ein, so fällt es ein neues Urteil, welches das erstinstanzliche Urteil ersetzt (Art. 408 Abs. 1 StPO, Art. 81 StPO). Das Obergericht erkennt: 1. Der Beschuldigte wird vom Vorwurf der qualifizierten Widerhandlung gegen das Betäubungsmittelgesetz gemäss Art. 19 Abs. 2 lit. a BetmG (Anklageziffer 1.8, betreffend «Haku» und «Gelato») freigesprochen.</w:t>
      </w:r>
    </w:p>
    <w:p>
      <w:r>
        <w:t>- 22 - 2. Der Beschuldigte ist schuldig. - der qualifizierten Widerhandlung gegen das Betäubungsmittelgesetz gemäss Art. 19 Abs. 2 lit. a BetmG; - der mehrfachen Widerhandlung gegen das Betäubungsmittelgesetz gemäss Art. 19 Abs. 1 lit. c BetmG (unbefugte Veräusserung und Verschaffen auf andere Weise von Betäubungsmitteln); - der Widerhandlung gegen das Betäubungsmittelgesetz gemäss Art. 19a Ziff. 1 i.V.m. Art. 19 Abs. 1 lit. d BetmG (unbefugter Besitz von Betäubungsmitteln zum Eigenkonsum) [in Rechtskraft erwachsen]. 3. 3.1. Der Beschuldigte wird hierfür gemäss den in Ziff. 2 genannten Gesetzes- bestimmungen sowie in Anwendung von Art. 47 StGB, Art. 49 Abs. 1 StGB, Art. 40 StGB und Art. 106 StGB zu einer unbedingten Freiheitsstrafe von 5 Jahren, sowie einer Busse von Fr. 100.00, ersatzweise 1 Tag Freiheitsstrafe, verurteilt. 3.2. Die ausgestandene Untersuchungshaft von 2 Tagen (4. Mai 2021 bis 5. Mai 2021) wird dem Beschuldigten auf die Freiheitsstrafe angerechnet. 4. [in Rechtskraft erwachsen] 4.1. Die nachfolgenden beschlagnahmten Betäubungsmittel und Gegenstände werden eingezogen: - 1 SIM-Karte «Lyca-Mobile» - 1 Mobiltelefon «Samsung», schwarz - 1 Swiss-Pass, lautend auf F._____, tt.mm.1990 - 1 Mobiltelefon «Huawei» (Display defekt) - 1 Minigrip mit weissem Pulver-Rückständen, inkl. 1 Kunststoffröhrchen (beim PKO AG, BM-Gruppe) - ca. 0.22 Gramm Kokaingemisch, inkl. 4 Kunststoffröhrchen (beim PKO AG, BM-Gruppe) Die Staatsanwaltschaft trifft die sachgemässen Verfügungen. 4.2. Die nachfolgenden beschlagnahmten Gegenstände werden dem Beschuldigten auf dessen Verlangen innert 10 Tagen nach Rechtskraft des vorliegenden Urteils ausgehändigt:</w:t>
      </w:r>
    </w:p>
    <w:p>
      <w:r>
        <w:t>- 23 - - 1 Mobiltelefon «Samsung», weiss - 1 Tablet «Samsung» - 1 Mobiltelefon «Apple iPhone», 6S Plus Werden diese Gegenstände innert Frist nicht abgeholt, trifft die Staatsanwaltschaft die sachgemässen Verfügungen. 5.</w:t>
      </w:r>
    </w:p>
    <w:p>
      <w:r>
        <w:rPr>
          <w:b/>
        </w:rPr>
        <w:t>E. 9</w:t>
      </w:r>
    </w:p>
    <w:p>
      <w:r>
        <w:t>November 2023 erneut vorgeladen werden musste, lag am unentschuldigten Fernbleiben des Beschuldigten zur Verhandlung (GA act. 76). Die Vorinstanz hat jedoch zeitnah auf eine zweite Verhandlung am 22. Januar 2024 vorgeladen. Der Beschuldigte meldete am 1. Februar 2024 die Berufung an und das begründete erstinstanzliche Urteil wurde ihm in der Folge am 13. August 2024, und damit nach 6 ½ Monaten, zugestellt. Damit hat die Vorinstanz die Ordnungsfrist, innerhalb derer das Gericht den Parteien das begründete Urteil zuzustellen hat (innert 60 Tagen, ausnahmsweise 90 Tage; vgl. Art. 84 Abs. 4 StPO), zwar überschritten, dies führt jedoch nicht ohne Weiteres zur Annahme einer Verletzung des Beschleunigungsgebots (Urteil des Bundesgerichts 6B_549/2024 vom 26. November 2024 E.2.3 mit Hinweisen). Zu berücksichtigen ist vorliegend, dass die Vorinstanz sämtliche Sachverhalte mittels umfang- reicher und schwerverständlicher Chatprotokolle zu würdigen hatte, mithin eine umfangreiche Begründung vorzunehmen war, was sich letztlich auch im 97 Seiten umfassenden begründeten Urteil zeigt. Sodann erscheint auch die gesamte Dauer des erstinstanzlichen Verfahrens nicht als übermässig lange. Zwischen Anklageerhebung und Zustellung des begründeten Urteils verstrichen knapp 1 ½ Jahre, wobei eine gewisse Verzögerung der Beschuldigte selbst zu vertreten hatte. Schliesslich ist auch im Berufungsverfahren keine Verletzung des Beschleunigungsgebots auszumachen, zumal das vorliegende Berufungsurteil noch vor Ablauf der Jahresfrist gemäss Art. 408 Abs. 2 StPO gefällt und sodann auch die Frist zur schriftlichen Begründung eingehalten worden ist. Bei einer Gesamtbetrachtung ist keine Verletzung des Beschleunigungsgebots festzustellen.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