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SST.2024.154 vom 28. November 2024</w:t>
      </w:r>
    </w:p>
    <w:p>
      <w:r>
        <w:t>Ag Strafgericht, 2024-11-28, DE</w:t>
      </w:r>
    </w:p>
    <w:p>
      <w:r>
        <w:rPr>
          <w:b/>
        </w:rPr>
        <w:t xml:space="preserve">Quelle: </w:t>
      </w:r>
      <w:r>
        <w:t>https://mcp.opencaselaw.ch/entscheid/ag_strafgericht_SST.2024.154</w:t>
      </w:r>
    </w:p>
    <w:p>
      <w:r>
        <w:t>FR: AG_STRAFGERICHT SST.2024.154 du 28 novembre 2024</w:t>
      </w:r>
    </w:p>
    <w:p>
      <w:r>
        <w:t>IT: AG_STRAFGERICHT SST.2024.154 del 28 novembre 2024</w:t>
      </w:r>
    </w:p>
    <w:p>
      <w:pPr>
        <w:pStyle w:val="Heading2"/>
      </w:pPr>
      <w:r>
        <w:t>Erwägungen</w:t>
      </w:r>
    </w:p>
    <w:p>
      <w:r>
        <w:rPr>
          <w:b/>
        </w:rPr>
        <w:t>E. 2.1</w:t>
      </w:r>
    </w:p>
    <w:p>
      <w:r>
        <w:t>Die Vorinstanz hat den Beschuldigten mit einer bedingten Geldstrafe von 24 Tagessätzen à Fr. 140.00, Probezeit 3 Jahre, sowie einer Verbindungsbusse von Fr. 840.00, ersatzweise 6 Tage Freiheitsstrafe, bestraft.</w:t>
      </w:r>
    </w:p>
    <w:p>
      <w:r>
        <w:rPr>
          <w:b/>
        </w:rPr>
        <w:t>E. 2.2</w:t>
      </w:r>
    </w:p>
    <w:p>
      <w:r>
        <w:t>Der Beschuldigte setzt sich in seiner Berufung in keiner Weise mit der vorinstanzlichen Strafzumessung auseinander. Da er die Höhe der</w:t>
      </w:r>
    </w:p>
    <w:p>
      <w:r>
        <w:t>- 7 - ausgesprochenen Geldstrafe und der Verbindungsbusse somit nicht beanstandet, kann diesbezüglich auf die unbestritten gebliebenen Ausführungen der Vorinstanz verwiesen werden (vorinstanzliches Urteil S. 11 ff.). Die von ihr ausgesprochene Geldstrafe von 24 Tagessätzen sowie die Verbindungsbusse von Fr. 840.00 als in ihrer Gesamtheit angemessen erachtete Sanktion erscheint bei einem Strafrahmen von bis zu 3 Jahren Freiheitsstrafe oder Geldstrafe auch unter Annahme des von ihr als noch leicht qualifizierten Verschuldens als mild und kann unter keinem Titel herabgesetzt werden. Die Vorinstanz hat die Verbindungsbusse von der Geldstrafe in Abzug gebracht (vorinstanzliches Urteil E. 2.7.1). Da Busse und Geldstrafe keine gleichartigen Strafen im Sinne von Art. 49 Abs. 1 StGB sind (BGE 144 IV 217 E. 2.3.1) und somit mangels Gleichartigkeit zahlenmässig nicht als eine rechnerische Einheit ausgewiesen werden können, ist die Vorinstanz nicht korrekt vorgegangen (vgl. Urteil des Bundesgerichts 6B_756/2018 vom 15. November 2018 E. 2.4). Diese unzutreffende Vorgehensweise hat sich jedoch nicht zu Lasten, sondern zu Gunsten des Beschuldigten ausgewirkt, weshalb es aufgrund des Verschlechterungsverbots damit sein Bewenden hat. Damit bleibt es bei der von der Vorinstanz ausgefällten Geldstrafe von 24 Tagessätzen und der Verbindungsbusse von Fr. 840.00. Die Vorinstanz ist darauf hinzuweisen, dass wenn eine Verbindungsbusse ausgesprochen wird, die Ausführungen dazu bereits in der Begründung der Tat- und Täterkomponenten – und nicht erst bei der konkreten Strafhöhe – zu erfolgen haben, ansonsten darauf geschlossen werden könnte, dass die Verbindungsbusse nicht in die Überlegungen zur Gesamthöhe der schuldangemessenen Strafe einbezogen worden ist (vgl. Urteil des Bundesgerichts 6B_756/2018 vom 15. November 2018 E. 2.4).</w:t>
      </w:r>
    </w:p>
    <w:p>
      <w:r>
        <w:rPr>
          <w:b/>
        </w:rPr>
        <w:t>E. 2.3</w:t>
      </w:r>
    </w:p>
    <w:p>
      <w:r>
        <w:t>Der Beschuldigte macht keine wesentlichen Veränderungen seiner finanziellen Verhältnisse geltend und solche sind auch nicht ersichtlich, so dass es mit der von der Vorinstanz auf Fr. 140.00 festgesetzten Tages- satzhöhe sein Bewenden hat.</w:t>
      </w:r>
    </w:p>
    <w:p>
      <w:r>
        <w:rPr>
          <w:b/>
        </w:rPr>
        <w:t>E. 2.4</w:t>
      </w:r>
    </w:p>
    <w:p>
      <w:r>
        <w:t>Die Vorinstanz hat die Geldstrafe bedingt ausgesprochen, worauf aufgrund des Verschlechterungsverbots nicht zurückzukommen ist. Der Beschuldigte ist einschlägig vorbestraft. Hinsichtlich der nunmehr begangenen groben Verkehrsregelverletzung scheint ihm die Einsicht und Reue weitgehend zu fehlen. Es bestehen deshalb nicht unerhebliche Bedenken an seiner Legalbewährung, denen – nebst der Ausfällung einer Verbindungsbusse – mit der Vorinstanz mit einer erhöhten Probezeit von</w:t>
      </w:r>
    </w:p>
    <w:p>
      <w:r>
        <w:rPr>
          <w:b/>
        </w:rPr>
        <w:t>E. 3</w:t>
      </w:r>
    </w:p>
    <w:p>
      <w:r>
        <w:t>Die Berufung des Beschuldigten erweist sich als unbegründet und ist abzuweisen. Ausgangsgemäss sind ihm die obergerichtlichen Verfahrens- kosten von Fr. 3'000.00 vollumfänglich aufzuerlegen (Art. 428 Abs. 1 StPO; § 15 GebührD) und er hat keinen Anspruch auf eine Entschädigung (Art. 436 Abs. 1 i.V.m. Art. 429 Abs. 1 StPO e contrario). Betreffend die erstinstanzliche Kostenregelung ist festzustellen, dass der Beschuldigte verurteilt wird und deshalb die Verfahrenskosten zu tragen hat (Art. 428 Abs. 3 i.V.m. Art. 426 Abs. 1 StPO). Er hat ausgangsgemäss keinen Anspruch auf eine Entschädigung (Art. 429 Abs. 1 StPO e contrario).</w:t>
      </w:r>
    </w:p>
    <w:p>
      <w:r>
        <w:rPr>
          <w:b/>
        </w:rPr>
        <w:t>E. 3.1</w:t>
      </w:r>
    </w:p>
    <w:p>
      <w:r>
        <w:t>Die obergerichtlichen Verfahrenskosten von Fr. 3'000.00 sowie die erstinstanzlichen Verfahrenskosten von Fr. 2'107.90 (inkl. Anklagegebühr von Fr. 800.00) werden dem Beschuldigten auferlegt.</w:t>
      </w:r>
    </w:p>
    <w:p>
      <w:r>
        <w:t>- 9 -</w:t>
      </w:r>
    </w:p>
    <w:p>
      <w:r>
        <w:rPr>
          <w:b/>
        </w:rPr>
        <w:t>E. 3.2</w:t>
      </w:r>
    </w:p>
    <w:p>
      <w:r>
        <w:t>Der Beschuldigte hat seine erst- und zweitinstanzlichen Parteikosten selbst zu tragen.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28. November 2024 Obergericht des Kantons Aargau Strafgericht, 3. Kammer Der Präsident: Die Gerichtsschreiberin: Six Eichenberger</w:t>
      </w:r>
    </w:p>
    <w:p>
      <w:r>
        <w:rPr>
          <w:b/>
        </w:rPr>
        <w:t>E. 4</w:t>
      </w:r>
    </w:p>
    <w:p>
      <w:r>
        <w:t>Tritt das Berufungsgericht, wie vorliegend, auf die Berufung ein, so fällt es ein neues Urteil, welches das erstinstanzliche Urteil ersetzt (Art. 408 Abs. 1 StPO, Art. 81 StPO). Das Obergericht erkennt: 1. Der Beschuldigte ist der groben Verletzung der Verkehrsregeln durch Überschreiten der zulässigen Höchstgeschwindigkeit gemäss Art. 90 Abs. 2 SVG i.V.m. Art. 4a Abs. 1 lit. b VRV schuldig. 2. Der Beschuldigte wird hierfür gemäss Art. 90 Abs. 2 SVG sowie in Anwendung von Art. 102 Abs. 1 SVG, Art. 47 StGB, Art. 34 StGB, Art. 42 Abs. 1 und Abs. 4 StGB, Art. 44 StGB und Art. 106 StGB zu einer bedingten Geldstrafe von 24 Tagessätzen à Fr. 140.00, d.h. Fr. 3'360.00, Probezeit 3 Jahre, und einer Verbindungsbusse von Fr. 840.00, ersatzweise 6 Tage Freiheitsstrafe, verurteilt.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