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SST.2024.153 vom 15. Januar 2025</w:t>
      </w:r>
    </w:p>
    <w:p>
      <w:r>
        <w:t>Ag Strafgericht, 2025-01-15, DE</w:t>
      </w:r>
    </w:p>
    <w:p>
      <w:r>
        <w:rPr>
          <w:b/>
        </w:rPr>
        <w:t xml:space="preserve">Quelle: </w:t>
      </w:r>
      <w:r>
        <w:t>https://mcp.opencaselaw.ch/entscheid/ag_strafgericht_SST.2024.153</w:t>
      </w:r>
    </w:p>
    <w:p>
      <w:r>
        <w:t>FR: AG_STRAFGERICHT SST.2024.153 du 15 janvier 2025</w:t>
      </w:r>
    </w:p>
    <w:p>
      <w:r>
        <w:t>IT: AG_STRAFGERICHT SST.2024.153 del 15 gennaio 2025</w:t>
      </w:r>
    </w:p>
    <w:p>
      <w:pPr>
        <w:pStyle w:val="Heading2"/>
      </w:pPr>
      <w:r>
        <w:t>Erwägungen</w:t>
      </w:r>
    </w:p>
    <w:p>
      <w:r>
        <w:rPr>
          <w:b/>
        </w:rPr>
        <w:t>E. 23</w:t>
      </w:r>
    </w:p>
    <w:p>
      <w:r>
        <w:t>Mai 2023 (0.1h). Als Kanzleiaufwand sind die E-Mail an die Kantons- polizei Aarau, wonach der Privatkläger 3 an der Einvernahme der Be- schuldigten nicht teilnehmen würde, die Abschlussanzeige/Entschädigung sowie die Einreichung der Kostennote vor Erlass des Strafbefehls einzu- stufen (je 0.2h; vgl. Leitfaden betr. amtliche Mandate des Kantons Zürich S. 65). Nicht nötig waren ferner die beiden Fristerstreckungsgesuche vom 13. August 2023 (je 0.2h), da diese Anwendungen durch den Rechts- vertreter verursacht wurden (vgl. Beschluss des Bundesverwaltungs- gerichts BB.2017.125 vom 15. März 2018 E. 7.7). Es zeigt sich hier ein ausgewiesener notwendiger Aufwand von 7.8 Stunden. Daraus resultiert bei einem Stundenansatz von Fr. 220.00 im Jahr 2023 unter Berück- sichtigung von praxisgemäss 3 % Spesen (darin eingeschlossen Reise- spesen; § 13 Abs. 1 AnwT; Urteil des Obergerichts SST.2023.98 vom 21. März 2024 E. 7.2) sowie der MwSt. (7.7 %) eine Entschädigung von Fr. 1'903.60. Die Kostennote vom 27. März 2024 (act. 886 ff.) zeigt am 8. und 12. De- zember 2023 Aufwendungen von 0.1, 0.2, 0.1 und 0.2 Stunden im Zu- sammenhang mit der Vorladung vom 8. Dezember 2023 (Terminab- sprachen; act. 490 f.). Dabei handelt es sich um nicht entschädigungs- pflichtigen Kanzleiaufwand. Im Übrigen erscheint der Aufwand von 8.9 Stunden mit der vorliegenden Kostennote belegt und ausgewiesen. Daraus resultiert bei einem Stundenansatz von Fr. 220.00 im Jahr 2023 und einem solchen von Fr. 240.00 im Jahr 2024 sowie unter Berück- sichtigung von praxisgemäss 3 % Spesen und der MwSt. (7.7 % bzw. 8.1 %) eine Entschädigung von Fr. 2'345.85 (1.4h x Fr. 220.00 x 1.03 x 1.077; 7.5h x Fr. 240.00 x 1.03 x 1.081). Dieser Aufwand von 16.7 Stunden ist angesichts des Tatvorwurfs und der dadurch erforderlichen Untersuchungshandlungen als angemessen einzu- stufen. Die Beschuldigte hat dem Privatkläger 3 somit eine Parteient- schädigung von Fr. 4'249.45 zu bezahlen. 4. 4.1. 4.1.1. Die Parteien tragen die Kosten des Rechtsmittelverfahrens nach Massgabe ihres Obsiegens oder Unterliegens (Art. 428 Abs. 1 StPO). Ob und inwie- weit eine Partei im Sinne dieser Bestimmung obsiegt oder unterliegt, hängt</w:t>
      </w:r>
    </w:p>
    <w:p>
      <w:r>
        <w:t>- 16 - davon ab, in welchem Ausmass ihre vor der zweiten Instanz gestellten Anträge gutgeheissen werden (vgl. statt vieler: Urteil des Bundesgerichts 7B_249/2022 vom 18. Januar 2024 E. 12.4.1). 4.1.2. Die Beschuldigte obsiegt mit ihrer Berufung teilweise. Sie hat der Privat- klägerin 2 keine Parteientschädigung (statt Fr. 934.15) und den Privat- klägern 1 und 3 eine reduzierte Parteientschädigung von Fr. 5'457.30 (statt Fr. 6'757.25) und von Fr. 4'249.45 (statt Fr. 4'772.30) zu bezahlen. Bei diesem Verfahrensausgang, bei dem die Beschuldigte im Vergleich zu ihrem Antrag gleichwohl in erheblichem Umfang unterliegt, rechtfertigt es sich, ihr 70 % der obergerichtlichen Verfahrenskosten aufzuerlegen. Den Rest haben die aktiv am Verfahren beteiligten und teilweise unterliegenden Privatkläger 1-3 zu gleichen Teilen (je 10 % der Verfahrenskosten) zu tragen (vgl. BGE 147 IV 47). 4.2. 4.2.1. Die Entschädigungsfrage folgt den gleichen Regeln wie der Kostenent- scheid (vgl. Art. 436 i.V.m. Art. 429 Abs. 1 und Art. 433 Abs. 1 StPO; BGE 142 IV 163 E. 3.2.2; Urteil des Bundesgerichts 6B_1290/2021 vom 31. März 2022 E. 5.1). 4.2.2. Der amtliche Verteidiger ist bis zum Widerruf des Mandats mit Verfügung vom 10. September 2024 aus der Staatskasse zu entschädigen (Art. 135 Abs. 1 StPO). Diesbezüglich wird mit Honorarnote vom 20. September 2024 beruhend auf einem Aufwand von 4.0833 Stunden eine Entschä- digung von Fr. 934.05 gefordert. Dies erscheint mit Blick auf das ein- gereichte Leistungsjournal angemessen. Diese Kosten gehen zulasten der Staatskasse, können sie der Privatklägerschaft doch nicht auferlegt werden, da hierfür eine gesetzliche Grundlage fehlt (BGE 145 IV 90 E. 5; vgl. Art. 135 Abs. 4 StPO). Nach dem Verfahrensausgang ist diese Ent- schädigung von der Beschuldigten zu 70 % zurückzufordern, sobald es ihre wirtschaftlichen Verhältnisse erlauben (Art. 135 Abs. 4 StPO). Für die anschliessende Wahlverteidigung hat die Beschuldigte ihre Partei- kosten nicht mit einer Kostennote ausgewiesen, obwohl ihr der Abschluss des Schriftenwechsels bekannt war (vgl. Verfügung vom 6. November 2024). Diese sind daher hinsichtlich der Punkte, bei denen die Beschuldigte obsiegt hat, zu schätzen. Hinsichtlich des Aufwands betreffend die Anfechtung der Parteikostenentschädigung der Privatklägerin 2 erscheint aufgrund der relativen kurzen Ausführungen in der Berufungsbegründung (S. 11 f.) ein Aufwand von 3 Stunden gerechtfertigt, zumal die Beschuldigte einen Teil ihrer Ausführungen bereits im vorinstanzlichen Verfahren vortrug (act. 855 f.). Die Privatklägerin 2 hat der Beschuldigten somit bei einem</w:t>
      </w:r>
    </w:p>
    <w:p>
      <w:r>
        <w:t>- 17 - Stundenansatz von Fr. 240.00, den praxisgemäss auf 3 % zu veran- schlagenden Spesen und der Mehrwertsteuer eine Parteientschädigung von Fr. 801.65 zu bezahlen. Die Beschuldigte bestreitet die von der Vorinstanz zugesprochenen Parteientschädigungen zugunsten der Privat- kläger 1 und 3 betragsmässig mit jeweils wenigen Sätzen (vgl. Berufungs- begründung S. 12 oben, S. 14 unten). Es rechtfertigt sich hierfür jeweils eine Entschädigung, soweit die Beschuldigte mit ihrer Berufung durch- dringt, basierend auf einem Aufwand von 1 ½ Stunden festzulegen. Die Privatkläger 1 und 3 haben der Beschuldigten gestützt darauf bei einem Stundenansatz von Fr. 240.00, den praxisgemäss auf 3 % zu veran- schlagenden Spesen und der Mehrwertsteuer jeweils eine Partei- entschädigung von Fr. 400.80 zu bezahlen. Im Übrigen hat die Be- schuldigte ihre Parteikosten für das Berufungsverfahren aufgrund des Verfahrensausgangs selbst zu tragen. 4.2.3. Die Privatklägerin 2 unterliegt im Berufungsverfahren, weshalb sie keinen Anspruch auf eine Parteientschädigung hat. 4.2.4. Da mehrere Privatkläger am Verfahren beteiligt sind, rechtfertigt sich, die Entschädigungsfolgen differenziert zu beurteilen und bei der Festsetzung der Parteientschädigung nicht ohne Weiteres auf den Verteilschlüssel hinsichtlich der Verfahrenskosten abzustellen. Der Privatkläger 1 obsiegt mit seinem Standpunkt, dass er grundsätzlich Anspruch auf eine Partei- entschädigung zulasten der Beschuldigten im vorinstanzlichen Verfahren hat und zudem ist die von der Vorinstanz diesbezüglich festgesetzte Parteientschädigung weitgehend (Fr. 5'457.30 von Fr. 6'757.25) gerecht- fertigt gewesen. Aufgrund dieses Verfahrensausgangs rechtfertigt es sich, dass die Beschuldigte dem Privatkläger 1 eine um 20 % reduzierte Partei- entschädigung der notwendigen Aufwendungen zu ersetzen hat. Der Privatkläger 1 hat sich von der gleichen Rechtsanwältin wie die Privat- klägerin 2 vertreten lassen. Betreffend diese beiden Parteien liegt eine Kostennote vom 4. November 2024 bei den Akten, die einen Aufwand von 11.8 Stunden ausweist. Nachdem diese Kostennote nicht genauer aus- scheidbare Aufwendungen für die Vertretung der Privatklägerin 2 bein- haltet, rechtfertigt es sich, die Kostennote um 2 Stunden zu kürzen, scheinen doch die Aufwendungen betreffend die Vertretung der Privat- klägerin 2 mit Blick auf die Ausführungen in der Berufungsantwort (S. 9 Rz. 25 f.) eher gering gewesen zu sein. Eine weitere Kürzung um 20 % hat angesichts des Prozessausgangs zu erfolgen. Bei einem Stundenansatz von Fr. 240.00, den praxisgemäss auf 3 % zu veranschlagenden Spesen und der Mehrwertsteuer resultieren zu vergütende Parteiaufwendungen von Fr. 2'095.05, welche die Beschuldigte dem Privatkläger 1 zu bezahlen hat.</w:t>
      </w:r>
    </w:p>
    <w:p>
      <w:r>
        <w:t>- 18 - 4.2.5. Hinsichtlich des Verfahrensausgangs bezüglich des Privatklägers 3 zeigt sich eine vergleichbare Ausgangslage wie beim Privatkläger 1. Deshalb rechtfertigt es sich, dass die Beschuldigte ihm ebenfalls eine um 20 % reduzierte Parteientschädigung der notwendigen Aufwendungen zu er- setzen hat. Mit Kostennote vom 1. November 2024 wird ein Aufwand von 10.9 Stunden geltend gemacht, der weitgehend angemessen erscheint. Nicht zu vergüten hat die Beschuldigte jedoch die Kürzestaufwendungen vom 8. Mai 2024 (0.1h: Sichtung Eingang Bestätigung Anmeldung Berufung; act. 911) und vom 22. Mai 2024 (0.2h: Sichtung Schreiben BG Laufenburg i.S. Berufungsanmeldung; vgl. act. 921). Denn diese Aufwendungen er- schöpfen sich in der Entgegennahme von Standardschreiben, die keiner Handlung seitens des Privatklägers 3 bedurften. Ferner erscheint als nicht nötig bzw. als Kanzleiaufwand die zweite Sichtung und Weiterleitung des vorinstanzlichen Ergänzungsurteils vom 10. Juli 2024 (0.2h). Es ist somit ein notwendiger Aufwand von 10.4 Stunden auszumachen bzw. unter Berücksichtigung der 20%igen Reduktion angesichts des Verfahrens- ausgangs von 8.32 Stunden. Bei einem Stundenansatz von Fr. 240.00, den praxisgemäss auf 3 % zu veranschlagenden Spesen und der Mehrwert- steuer resultieren Parteiaufwendungen von Fr. 2'223.30, welche die Be- schuldigte dem Privatkläger 3 zu bezahlen hat. 5. Fällt die Rechtsmittelinstanz selber einen neuen Entscheid, so befindet sie darin auch über die von der Vorinstanz getroffene Kostenregelung (Art. 428 Abs. 3 StPO). Das vorliegende Urteil hat keinen Einfluss auf die erstinstanzlichen Kosten- folgen (Art. 426 Abs. 1 StPO). 6. Tritt das Berufungsgericht auf die Berufung ein, so fällt es ein neues Urteil, welches das erstinstanzliche Urteil ersetzt (Art. 408 StPO, Art. 81 StPO). Das Obergericht erkennt: 1. [in Rechtskraft erwachsen] Die Beschuldigte wird freigesprochen von der Anklage: - der Tätlichkeiten (zum Nachteil von E._____ und F._____) gemäss Art. 126 Abs. 1 i.V.m. Abs. 2 lit. a StGB (Sachverhalt j)</w:t>
      </w:r>
    </w:p>
    <w:p>
      <w:r>
        <w:t>- 19 - - der üblen Nachrede (zum Nachteil von A._____ am 7. Januar 2023 [gegenüber C._____] gemäss Art. 173 Ziff. 1 StGB) 2. [in Rechtskraft erwachsen] Die Beschuldigte ist schuldig der mehrfachen üblen Nachrede gemäss Art. 173 Ziff. 1 Abs. 1 i.V.m. Ziff. 4 StGB in folgenden Sachverhalten: - Sachverhalt a: zum Nachteil von A._____ (mündlich gegenüber G._____ und H._____) - Sachverhalt b: zum Nachteil von A._____ am 19. Oktober 2022 (Versand von drei Briefen an I._____, J._____ und Familie K._____) - Sachverhalt c: zum Nachteil von A._____ am 3. Dezember 2022 (Versand von einem Brief an das Bezirksgericht Laufenburg) - Sachverhalt d: zum Nachteil von A._____ am 28. Dezember 2022 (Versand eines E-Mails an A._____ mit cc an L._____, M._____, N._____ und Familiengericht Laufenburg) - Sachverhalt f: zum Nachteil von A._____ am 30. Januar 2023 (gegenüber Personal im Kantonsspital Aarau) - Sachverhalt g: zum Nachteil von B._____ am 27. Januar 2023 (gegenüber der Kantonspolizei Aargau) - Sachverhalt h: zum Nachteil von C._____ am 17. März 2023 (gegenüber Personal im Kantonsspital Aarau) - Sachverhalt i: zum Nachteil von O._____ am 19. Oktober 2023 (Versand eines Briefes an J._____) 3. [in Rechtskraft erwachsen] Die Beschuldigte wird in Anwendung der in Ziff. 2 erwähnten Bestim- mungen sowie gestützt auf Art. 34 StGB, Art. 47 StGB und Art. 49 Abs. 1 StGB zu einer Geldstrafe von 60 Tagessätzen verurteilt. Der Tagessatz wird auf Fr. 30.00 festgesetzt. Die Geldstrafe beläuft sich auf Fr. 1'800.00. 4. [in Rechtskraft erwachsen] Der Beschuldigten wird gestützt auf Art. 42 Abs. 1 StGB für die Geldstrafe der bedingte Strafvollzug gewährt. Die Probezeit wird gestützt auf Art. 44 Abs. 1 StGB auf 2 Jahre festgesetzt. 5. [in Rechtskraft erwachsen] Es wird festgestellt, dass keine Zivilforderungen geltend gemacht wurden. 6. 6.1. [in Rechtskraft erwachsen] Die erstinstanzlichen Verfahrenskosten werden der Beschuldigten im Umfang von Fr. 2'879.00 auferlegt.</w:t>
      </w:r>
    </w:p>
    <w:p>
      <w:r>
        <w:t>- 20 - 6.2. Die vorinstanzliche Gerichtskasse wird – soweit noch keine Auszahlung erfolgt ist – angewiesen, dem amtlichen Verteidiger der Beschuldigten, Rechtsanwalt Eric Hemmerling, […], für das erstinstanzliche Verfahren eine Entschädigung von Fr. 4'060.70 (inkl. Fr. 303.65 MwSt) auszurichten. [in Rechtskraft erwachsen] Diese Entschädigung wird von der Beschuldigten zurückgefordert, sobald es ihre wirtschaftlichen Verhältnisse erlauben. 6.3. O._____ hat seine erstinstanzlichen Parteikosten selber zu tragen. [in Rechtskraft erwachsen] 6.4. Die Beschuldigte hat A._____ für das vorinstanzliche Verfahren eine richterlich festgesetzte Parteientschädigung von Fr. 5'457.30 zu bezahlen. Im Übrigen hat dieser seine Parteikosten selber zu tragen. 6.5. B._____ hat ihre erstinstanzlichen Parteikosten selber zu tragen. 6.6. Die Beschuldigte hat C._____ für das vorinstanzliche Verfahren eine richterlich festgesetzte Parteientschädigung von Fr. 4'249.45 zu bezahlen. Im Übrigen hat er seine Parteikosten selber zu tragen. 7. 7.1. Die obergerichtlichen Verfahrenskosten von Fr. 2'500.00 und den Auslagen von Fr. 226.00, zusammen Fr. 2'726.00, werden der Beschuldigten zu 70 % mit Fr. 1'908.20 und den Privatklägern 1-3 jeweils zu 10 % mit Fr. 272.60 auferlegt. 7.2. 7.2.1. Die Obergerichtskasse wird angewiesen, dem bisherigen amtlichen Verteidiger, Rechtsanwalt Eric Hemmerling, […], für das Berufungs- verfahren eine Entschädigung von Fr. 934.05 auszurichten. Diese Entschädigung wird von der Beschuldigten zu 70 %, mit Fr. 653.85 zurückgefordert, sobald es ihre wirtschaftlichen Verhältnisse erlauben.</w:t>
      </w:r>
    </w:p>
    <w:p>
      <w:r>
        <w:t>- 21 - 7.2.2. Der Privatkläger 1 hat der Beschuldigten für das Berufungsverfahren eine Parteientschädigung für die Kosten der freigewählten Verteidigung von Fr. 400.80 zu bezahlen. 7.2.3. Die Privatklägerin 2 hat der Beschuldigten für das Berufungsverfahren eine Parteientschädigung für die Kosten der freigewählten Verteidigung von Fr. 801.65 zu bezahlen. 7.2.4. Der Privatkläger 3 hat der Beschuldigten für das Berufungsverfahren eine Parteientschädigung für die Kosten der freigewählten Verteidigung von Fr. 400.80 zu bezahlen. 7.2.5. Im Übrigen hat die Beschuldigte ihre obergerichtlichen Parteikosten selbst zu tragen. 7.3. 7.3.1. Die Beschuldigte hat dem Privatkläger 1 für das Berufungsverfahren eine richterlich festgesetzte Parteientschädigung von Fr. 2'095.05 zu bezahlen. Im Übrigen hat dieser seine Parteikosten selber zu tragen. 7.3.2. Die Privatklägerin 2 hat ihre obergerichtlichen Parteikosten selber zu tragen. 7.3.3. Die Beschuldigte hat dem Privatkläger 3 für das Berufungsverfahren eine richterlich festgesetzte Parteientschädigung von Fr. 2'223.30 zu bezahlen. Im Übrigen hat er seine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w:t>
      </w:r>
    </w:p>
    <w:p>
      <w:r>
        <w:t>- 22 -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Januar 2025 Obergericht des Kantons Aargau Strafgericht, 2. Kammer Die Präsidentin: Der Gerichtsschreiber: Plüss Hüsler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