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SST.2023.48 vom 21. Februar 2023</w:t>
      </w:r>
    </w:p>
    <w:p>
      <w:r>
        <w:t>Ag Strafgericht, 2023-02-21, DE</w:t>
      </w:r>
    </w:p>
    <w:p>
      <w:r>
        <w:rPr>
          <w:b/>
        </w:rPr>
        <w:t xml:space="preserve">Quelle: </w:t>
      </w:r>
      <w:r>
        <w:t>https://mcp.opencaselaw.ch/entscheid/ag_strafgericht_SST.2023.48</w:t>
      </w:r>
    </w:p>
    <w:p>
      <w:r>
        <w:t>FR: AG_STRAFGERICHT SST.2023.48 du 21 février 2023</w:t>
      </w:r>
    </w:p>
    <w:p>
      <w:r>
        <w:t>IT: AG_STRAFGERICHT SST.2023.48 del 21 febbraio 2023</w:t>
      </w:r>
    </w:p>
    <w:p>
      <w:pPr>
        <w:pStyle w:val="Heading2"/>
      </w:pPr>
      <w:r>
        <w:t>Erwägungen</w:t>
      </w:r>
    </w:p>
    <w:p>
      <w:r>
        <w:rPr>
          <w:b/>
        </w:rPr>
        <w:t>E. 4</w:t>
      </w:r>
    </w:p>
    <w:p>
      <w:r>
        <w:t>Mai 2022 E. 2.4.1; Urteil des Obergerichts vom 4. Mai 2022 E. 2.4.3; Urteil des Bundesgerichts 6B_773/2022 vom 26. Oktober 2022 E. 3). Das Berufungsgericht hat in seiner ausführlichen Begründung neben der erwähnten Verfügung der Staatsanwaltschaft – auf die es denn auch zweimal explizit verweisen hat (vgl. Urteil des Obergerichts vom 4. Mai 2022 E. 2.4.3.1 S. 9 sowie E. 2.4.3.2), so dass ausgeschlossen ist, dass es diese bzw. deren kurze Begründung nicht zur Kenntnis genommen hätte (vgl. allgemein zur Kenntnis des Gerichts von aus den Akten oder Verhandlungen hervorgehenden Tatsachen und Beweismitteln: BGE 122 IV 66) – verschiedene Umstände berücksichtigt, wie u.a. die Aufnahme des Kontakts einzig zum Zweck des Erwerbs von Drogen gestützt auf WhatsApp-Nachrichten, die Anzahl der Abnehmer von B., was dessen Bereitschaft für Verkäufe von Drogen an jedermann ohne Vertrauensverhältnis zeige, und der Kommunikation über das Mobiltelefon mit kollegialer Anrede nach spontaner Herausgabe der Telefonnummer sowie ohne urkundengestützter Legende im Sinn der bundesgerichtlichen Rechtsprechung. Das Vorbringen der Gesuchstellerin läuft auf eine unzulässige Kritik an der Beweiswürdigung im Strafverfahren heraus. Ein Revisionsverfahren kann nicht dazu dienen, ein als unrichtig erachtetes Urteil in Wiedererwägung zu ziehen (vgl. Urteil des Bundesgerichts 6B_986/2013 vom 11. Juli 2014 E. 4.1). Überdies lässt sich entgegen der Gesuchstellerin aus der Begründung der Staatsanwaltschaft in der erwähnten Verfügung keinesfalls ableiten, dass die Vertrauensbildung das Ziel gewesen wäre. Es ging vielmehr darum festzuhalten, dass es zu keiner Vertrauensbildung bzw. zu keiner solchen im Sinne von Art. 285a StPO (vgl. BGE 143 IV 27) gekommen sei, so dass nach wie vor eine verdeckte Fahndung vorliege.</w:t>
      </w:r>
    </w:p>
    <w:p>
      <w:r>
        <w:t>- 5 - Zusammenfassend dient das Revisionsverfahren nicht dazu, rechtskräftige Entscheide jederzeit infrage zu stellen oder frühere prozessuale Versäumnisse zu beheben oder nachzuholen (BGE 130 IV 72 E. 2.2 S. 74). Dies gilt auch für Rügen der Beweiswürdigung und Sachverhaltsfeststellung (Urteil des Bundesgerichts 6B_1055/2018 vom 27. Juni 2019 E. 3). Das Revisionsgesuch erweist sich als offensichtlich unzulässig, weshalb darauf in Anwendung von Art. 412 Abs. 2 StPO nicht einzutreten ist. 2.4. Mit dem Entscheid in der Sache ist der mit Revisionsgesuch gestellte prozessuale Antrag auf Gewährung der aufschiebenden Wirkung gegenstandslos geworden. 3. Ausgangsgemäss hat die Gesuchstellerin die Kosten des Revisions- verfahrens zu tragen und es ist ihr keine Parteientschädigung auszurichten (Art. 428 Abs. 1 StPO). Das Obergericht beschliesst: 1. Auf das Revisionsgesuch der Gesuchstellerin wird nicht eingetreten. 2. Die Kosten des Revisionsverfahrens von Fr. 1'000.00 werden der Gesuchstellerin auferlegt. 3. Es werden keine Parteientschädigungen ausgerichtet. Zustellung an: […]</w:t>
      </w:r>
    </w:p>
    <w:p>
      <w:r>
        <w:t>- 6 -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21. Februar 2023 Obergericht des Kantons Aargau Strafgericht, 1. Kammer Das präsidierende Mitglied: Der Gerichtsschreiber: Cotti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