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SST.2023.28 vom 27. Februar 2023</w:t>
      </w:r>
    </w:p>
    <w:p>
      <w:r>
        <w:t>Ag Strafgericht, 2023-02-27, DE</w:t>
      </w:r>
    </w:p>
    <w:p>
      <w:r>
        <w:rPr>
          <w:b/>
        </w:rPr>
        <w:t xml:space="preserve">Quelle: </w:t>
      </w:r>
      <w:r>
        <w:t>https://mcp.opencaselaw.ch/entscheid/ag_strafgericht_SST.2023.28</w:t>
      </w:r>
    </w:p>
    <w:p>
      <w:r>
        <w:t>FR: AG_STRAFGERICHT SST.2023.28 du 27 février 2023</w:t>
      </w:r>
    </w:p>
    <w:p>
      <w:r>
        <w:t>IT: AG_STRAFGERICHT SST.2023.28 del 27 febbraio 2023</w:t>
      </w:r>
    </w:p>
    <w:p>
      <w:pPr>
        <w:pStyle w:val="Heading2"/>
      </w:pPr>
      <w:r>
        <w:t>Erwägungen</w:t>
      </w:r>
    </w:p>
    <w:p>
      <w:r>
        <w:rPr>
          <w:b/>
        </w:rPr>
        <w:t>E. 2</w:t>
      </w:r>
    </w:p>
    <w:p>
      <w:r>
        <w:t>Bei diesem Verfahrensausgang sind die Kosten für das Revisionsverfahren auf die Staatskasse zu nehmen (Art. 428 Abs. 1 StPO). Nach Art. 436 Abs. 4 StPO hat die nach einer Revision freigesprochene oder milder bestrafte beschuldigte Person Anspruch auf angemessene Entschädigung für ihre Aufwendungen im Revisionsverfahren. Der Anspruch entsteht nicht bereits bei der Gutheissung eines Revisionsbegeh- rens, sondern erst, wenn die beschuldigte Person im neuen Verfahren einen Freispruch oder eine mildere Bestrafung erreicht (GRIESSER in: Kommentar zur Schweizerischen Strafprozessordnung, 3. Aufl. 2020, N. 5 zu Art. 436 StPO). Somit wird die Staatsanwaltschaft in ihrem neuen Entscheid über die Entschädigung des Gesuchstellers für das Revisions- verfahren zu befinden haben. Dabei wird zu beachten sein, dass der Gesuchsteller bereits im erstinstanzlichen und obergerichtlichen Verfahren gegen C. als Privatkläger durch Rechtsanwältin Silja Meyer vertreten wurde, weshalb ihr der Sachverhalt sowie die den Revisionsgrund begründenden obergerichtlichen Urteile bekannt waren und sich der Aufwand für das Revisionsverfahren darauf beschränkte, im Revisionsge- such den Widerspruch zum Strafbefehl vom 6. Juli kurz darzulegen, wobei in rechtlicher und tatsächlicher Hinsicht einfache und übersichtliche Fallverhältnisse vorlagen.</w:t>
      </w:r>
    </w:p>
    <w:p>
      <w:r>
        <w:t>- 5 - Das Obergericht erkennt: 1. Der Strafbefehl der Staatsanwaltschaft Zofingen-Kulm ST.2020.3530 vom</w:t>
      </w:r>
    </w:p>
    <w:p>
      <w:r>
        <w:rPr>
          <w:b/>
        </w:rPr>
        <w:t>E. 6</w:t>
      </w:r>
    </w:p>
    <w:p>
      <w:r>
        <w:t>Juli 2021 wird mit Ausnahme des Schuldspruchs wegen grober Verletzung der Verkehrsregeln gemäss Art. 90 Abs. 2 SVG aufgehoben. 2. Das Verfahren wird zur neuen Behandlung und Beurteilung an die Staatsanwaltschaft Zofingen-Kulm zurückgewiesen. 3. Die Kosten für das Revisionsverfahren werden auf die Staatskasse genommen. 4. Über die Entschädigung des Gesuchstellers für das Revisionsverfahren hat die Staatsanwaltschaft Zofingen-Kulm in ihrem neuen Entscheid zu befinden.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- 6 - Aarau, 27. Februar 2023 Obergericht des Kantons Aargau Strafgericht, 1.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