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SST.2023.259 vom 7. März 2024</w:t>
      </w:r>
    </w:p>
    <w:p>
      <w:r>
        <w:t>Ag Strafgericht, 2024-03-07, DE</w:t>
      </w:r>
    </w:p>
    <w:p>
      <w:r>
        <w:rPr>
          <w:b/>
        </w:rPr>
        <w:t xml:space="preserve">Quelle: </w:t>
      </w:r>
      <w:r>
        <w:t>https://mcp.opencaselaw.ch/entscheid/ag_strafgericht_SST.2023.259</w:t>
      </w:r>
    </w:p>
    <w:p>
      <w:r>
        <w:t>FR: AG_STRAFGERICHT SST.2023.259 du 7 mars 2024</w:t>
      </w:r>
    </w:p>
    <w:p>
      <w:r>
        <w:t>IT: AG_STRAFGERICHT SST.2023.259 del 7 marzo 2024</w:t>
      </w:r>
    </w:p>
    <w:p>
      <w:pPr>
        <w:pStyle w:val="Heading2"/>
      </w:pPr>
      <w:r>
        <w:t>Erwägungen</w:t>
      </w:r>
    </w:p>
    <w:p>
      <w:r>
        <w:rPr>
          <w:b/>
        </w:rPr>
        <w:t>E. 6</w:t>
      </w:r>
    </w:p>
    <w:p>
      <w:r>
        <w:t>Tritt das Berufungsgericht, wie vorliegend, auf die Berufung ein, so fällt es ein neues Urteil, welches das erstinstanzliche Urteil ersetzt (Art. 408 Abs. 1 StPO, Art. 81 StPO). Das Obergericht erkennt: 1. [in Rechtskraft erwachsen] Die Beschuldigte ist schuldig - der mehrfachen Vereitelung von Massnahmen zur Feststellung der Fahrunfähigkeit gemäss Art. 91a Abs. 1 SVG; - des mehrfachen pflichtwidrigen Verhaltens bei einem Unfall gemäss Art. 92 Abs. 1 SVG; - des mehrfachen Führens eines Motorfahrzeugs in nicht vorschrifts- gemässem Zustand gemäss Art. 93 Abs. 2 lit. a SVG; - der mehrfachen Verletzung der Verkehrsregeln durch Nichtbeherrschen des Fahrzeugs gemäss Art. 90 Abs. 1 SVG i.V.m. Art. 31 Abs. 1 SVG; - der Verletzung der Verkehrsregeln durch Missachtung des Vortritts bei Einfahrt in einen Kreisverkehrsplatz gemäss Art. 90 Abs. 1 SVG i.V.m. Art. 27 Abs. 1 SVG und Art. 41b Abs. 1 VRV. 2. Die Beschuldigte wird hierfür gemäss den in Ziff. 1 genannten Gesetzesbestimmungen sowie in Anwendung von Art. 102 Abs. 1 SVG, Art. 47 StGB, Art. 49 Abs. 1 StGB, Art. 40 StGB und Art. 106 StGB zu einer unbedingten Freiheitsstrafe von 10 Monaten und einer Busse von Fr. 2'000.00, ersatzweise 20 Tage Freiheitsstrafe, [in Rechtskraft erwachsen] verurteilt. 3. Die Beschuldigte wird gestützt auf Art. 66abis StGB für die Dauer von 5 Jahren des Landes verwiesen. 4. 4.1. Die obergerichtlichen Verfahrenskosten von Fr. 4'000.00 werden der Beschuldigten auferlegt.</w:t>
      </w:r>
    </w:p>
    <w:p>
      <w:r>
        <w:t>- 18 - 4.2. Die Obergerichtskasse wird angewiesen, dem amtlichen Verteidiger der Beschuldigten für das obergerichtliche Verfahren eine Entschädigung von Fr. 3'000.00 zu bezahlen. Diese Entschädigung wird von der Beschuldigten zurückgefordert, sobald es ihre wirtschaftlichen Verhältnisse erlauben. 5. 5.1. Die erstinstanzlichen Verfahrenskosten von Fr. 16'718.20 (inkl. Anklage- gebühr von Fr. 1'400.00) werden der Beschuldigten auferlegt. 5.2. Die Beschuldigte hat ihre Parteikosten für das erstinstanzliche Verfahren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- 19 - Aarau, 7. März 2024 Obergericht des Kantons Aargau Strafgericht, 1. Kammer Der Präsident: Die Gerichtsschreiberin: Six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