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AG_STRAFGERICHT SST.2022.245 vom 25. August 2023</w:t>
      </w:r>
    </w:p>
    <w:p>
      <w:r>
        <w:t>Ag Strafgericht, 2023-08-25, DE</w:t>
      </w:r>
    </w:p>
    <w:p>
      <w:r>
        <w:rPr>
          <w:b/>
        </w:rPr>
        <w:t xml:space="preserve">Quelle: </w:t>
      </w:r>
      <w:r>
        <w:t>https://mcp.opencaselaw.ch/entscheid/ag_strafgericht_SST.2022.245</w:t>
      </w:r>
    </w:p>
    <w:p>
      <w:r>
        <w:t>FR: AG_STRAFGERICHT SST.2022.245 du 25 août 2023</w:t>
      </w:r>
    </w:p>
    <w:p>
      <w:r>
        <w:t>IT: AG_STRAFGERICHT SST.2022.245 del 25 agosto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Staatsanwaltschaft Rheinfelden-Laufenburg erhob am 2. Oktober 2020 Anklage gegen den Beschuldigten wegen mehrfacher sexueller Handlun- gen mit Kindern, mehrfachen Überlassens von Pornografie, mehrfachen Beschaffens und Überlassens von Pornografie sowie mehrfachen Konsums und Besitzes zum Eigenkonsum von Pornografie.</w:t>
      </w:r>
    </w:p>
    <w:p>
      <w:r>
        <w:rPr>
          <w:b/>
        </w:rPr>
        <w:t>E. 2</w:t>
      </w:r>
    </w:p>
    <w:p>
      <w:r>
        <w:t>Mit Urteil vom 5. April 2022 erkannte die Präsidentin des Bezirksgericht Rheinfelden, handelnd als ausserordentliche Vertretung des Bezirks- gerichts Laufenburg: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