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SST.2022.209 vom 9. September 2022</w:t>
      </w:r>
    </w:p>
    <w:p>
      <w:r>
        <w:t>Ag Strafgericht, 2022-09-09, DE</w:t>
      </w:r>
    </w:p>
    <w:p>
      <w:r>
        <w:rPr>
          <w:b/>
        </w:rPr>
        <w:t xml:space="preserve">Quelle: </w:t>
      </w:r>
      <w:r>
        <w:t>https://mcp.opencaselaw.ch/entscheid/ag_strafgericht_SST.2022.209</w:t>
      </w:r>
    </w:p>
    <w:p>
      <w:r>
        <w:t>FR: AG_STRAFGERICHT SST.2022.209 du 9 septembre 2022</w:t>
      </w:r>
    </w:p>
    <w:p>
      <w:r>
        <w:t>IT: AG_STRAFGERICHT SST.2022.209 del 9 settembre 2022</w:t>
      </w:r>
    </w:p>
    <w:p>
      <w:pPr>
        <w:pStyle w:val="Heading2"/>
      </w:pPr>
      <w:r>
        <w:t>Erwägungen</w:t>
      </w:r>
    </w:p>
    <w:p>
      <w:r>
        <w:rPr>
          <w:b/>
        </w:rPr>
        <w:t>E. 1</w:t>
      </w:r>
    </w:p>
    <w:p>
      <w:r>
        <w:t>Der amtliche Verteidiger hat mit Eingabe vom 28. April 2022 die Berufung gegen das Urteil der Präsidentin des Bezirksgerichts Bremgarten vom 12. April 2022 angemeldet. Das begründete Urteil wurde ihm in der Folge am 17. August 2022 zugestellt. Mit Eingabe vom 2. September 2022 hat der amtliche Verteidiger die Berufung erklärt. Mit Eingabe vom 8. September 2022 hat der amtliche Verteidiger auf Auf- forderung hin erklärt, dass er zum letzten Mal im Nachgang zur Verhandlung vor Bezirksgericht Bremgarten am 12. April 2022 Kontakt mit der Beschuldigten gehabt habe. Alle Versuche einer Kontaktaufnahme, insbesondere auch über die ihm genannte E-Mailadresse, seien gescheitert.</w:t>
      </w:r>
    </w:p>
    <w:p>
      <w:r>
        <w:rPr>
          <w:b/>
        </w:rPr>
        <w:t>E. 2</w:t>
      </w:r>
    </w:p>
    <w:p>
      <w:r>
        <w:t>Es gehört nicht zu den Sorgfaltspflichten eines amtlichen Verteidigers, die Berufung in Ermangelung eines aktuellen und direkten Kontakts und somit insbesondere ohne einer nach Vorliegen des begründeten Urteils der Vorinstanz ergangenen Instruktion bzw. Willensäusserung des Beschuldigten aufgrund eines bloss hypothetischen Willens zu erklären oder später mündlich oder schriftlich zu begründen (ständige Praxis des Obergerichts, statt vieler: als Leitentscheid publizierter Beschluss des Obergerichts SST.2022.29 vom 16. März 2022). Nachdem nach Zustellung des begründeten Urteils der Vorinstanz keine aktuelle Instruktion bzw. Willensäusserung der Beschuldigten hinsichtlich der Berufungserklärung vorgelegen hatte – frühere Willensäusserungen hinsichtlich der Einlegung von Rechtsmitteln bleiben genauso wie eine verfrühte Berufungserklärung unbeachtlich – und der amtliche Verteidiger auch keine nachträgliche Genehmigung nachreichen konnte, kann folglich mangels gültiger Vertretung auf die Berufung nicht eingetreten werden.</w:t>
      </w:r>
    </w:p>
    <w:p>
      <w:r>
        <w:rPr>
          <w:b/>
        </w:rPr>
        <w:t>E. 3</w:t>
      </w:r>
    </w:p>
    <w:p>
      <w:r>
        <w:t>Die Obergerichtskasse wird angewiesen, dem amtlichen Verteidiger für das Berufungsverfahren eine Entschädigung von Fr. 400.00 (inkl. Auslagen und Mehrwertsteuer) auszurichten. Zustellung an: […]</w:t>
      </w:r>
    </w:p>
    <w:p>
      <w:r>
        <w:t>- 4 -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September 2022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