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SBK.2025.90 vom 30. Juni 2025</w:t>
      </w:r>
    </w:p>
    <w:p>
      <w:r>
        <w:t>Ag Strafgericht, 2025-06-30, DE</w:t>
      </w:r>
    </w:p>
    <w:p>
      <w:r>
        <w:rPr>
          <w:b/>
        </w:rPr>
        <w:t xml:space="preserve">Quelle: </w:t>
      </w:r>
      <w:r>
        <w:t>https://mcp.opencaselaw.ch/entscheid/ag_strafgericht_SBK.2025.90</w:t>
      </w:r>
    </w:p>
    <w:p>
      <w:r>
        <w:t>FR: AG_STRAFGERICHT SBK.2025.90 du 30 juin 2025</w:t>
      </w:r>
    </w:p>
    <w:p>
      <w:r>
        <w:t>IT: AG_STRAFGERICHT SBK.2025.90 del 30 giugno 2025</w:t>
      </w:r>
    </w:p>
    <w:p>
      <w:pPr>
        <w:pStyle w:val="Heading2"/>
      </w:pPr>
      <w:r>
        <w:t>Erwägungen</w:t>
      </w:r>
    </w:p>
    <w:p>
      <w:r>
        <w:rPr>
          <w:b/>
        </w:rPr>
        <w:t>E. 1.1</w:t>
      </w:r>
    </w:p>
    <w:p>
      <w:r>
        <w:t>Nach Art. 382 Abs. 1 StPO kann jede Partei, die ein rechtlich geschütztes Interesse an der Aufhebung oder Änderung eines Entscheids hat, ein Rechtsmittel ergreifen. Partei ist u.a. die Privatklägerschaft (Art.104 Abs. 1</w:t>
      </w:r>
    </w:p>
    <w:p>
      <w:r>
        <w:t>- 3 - lit. b StPO), wobei als Privatklägerschaft die geschädigte Person gilt, die ausdrücklich erklärt, sich am Strafverfahren als Straf- oder Zivilklägerin oder -kläger zu beteiligen (Art. 118 Abs. 1 StPO).</w:t>
      </w:r>
    </w:p>
    <w:p>
      <w:r>
        <w:rPr>
          <w:b/>
        </w:rPr>
        <w:t>E. 1.2</w:t>
      </w:r>
    </w:p>
    <w:p>
      <w:r>
        <w:t>Als Geschädigte, die sich als Privatklägerin (Straf- und Zivilklägerin i.S.v. Art. 118 Abs. 1 und 2 StPO bzw. Art. 119 Abs. 2 lit. a und b StPO) konsti- tuiert hat (vgl. "Strafanzeige und Strafantrag" vom 28. Februar 2025), ist die Beschwerdeführerin zur Beschwerde legitimiert. Auf die frist- und form- gerecht eingereichte Beschwerde (vgl. Art. 396 Abs. 1 i.V.m. Art. 385 Abs. 1 StPO) ist somit einzutreten.</w:t>
      </w:r>
    </w:p>
    <w:p>
      <w:r>
        <w:rPr>
          <w:b/>
        </w:rPr>
        <w:t>E. 2.1</w:t>
      </w:r>
    </w:p>
    <w:p>
      <w:r>
        <w:t>Die Staatsanwaltschaft Lenzburg-Aarau verfügte gestützt auf Art. 310 Abs. 1 lit. a StPO die Nichtanhandnahme der Strafanzeige, weil das ange- zeigte Verhalten der unbekannten Täterschaft ("aggressive Haltung" und böser Blick") den Straftatbestand der Drohung klarerweise nicht erfülle. Dieses Verhalten stelle kein künftiges Übel in Aussicht und habe zudem nicht die nötige Intensität, um als Drohung nach Art. 180 StGB zu gelten. Weiter könne der unbekannten Täterschaft kein vorsätzliches Drohen nachgewiesen werden.</w:t>
      </w:r>
    </w:p>
    <w:p>
      <w:r>
        <w:rPr>
          <w:b/>
        </w:rPr>
        <w:t>E. 2.2.1</w:t>
      </w:r>
    </w:p>
    <w:p>
      <w:r>
        <w:t>Die Staatsanwaltschaft verfügt die Nichtanhandnahme eines Strafverfah- rens, sobald aufgrund der Strafanzeige oder des Polizeirapports feststeht, dass die fraglichen Straftatbestände oder die Prozessvoraussetzungen ein- deutig nicht erfüllt sind (Art. 310 Abs. 1 lit. a StPO). Die Frage, ob die Straf- verfolgungsbehörde ein Strafverfahren durch Nichtanhandnahme erledigen kann, beurteilt sich nach dem aus dem strafprozessualen Legalitätsprinzip abgeleiteten Grundsatz "in dubio pro duriore". Danach darf die Nichtan- handnahme nur in sachverhaltsmässig und rechtlich klaren Fällen ergehen (Urteil des Bundesgerichts 7B_97/2023 vom 13. November 2024 E. 3.1 mit Hinweis auf BGE 137 IV 285 E. 2.3; Urteil 6B_628/2022 vom 22. März 2023 E. 3.2.1; je mit Hinweisen).</w:t>
      </w:r>
    </w:p>
    <w:p>
      <w:r>
        <w:rPr>
          <w:b/>
        </w:rPr>
        <w:t>E. 2.2.2</w:t>
      </w:r>
    </w:p>
    <w:p>
      <w:r>
        <w:t>Nach Art. 180 Abs. 1 StGB wird bestraft, wer jemanden durch schwere Dro- hung in Schrecken oder Angst versetzt. Der objektive Tatbestand setzt vo- raus, dass der Drohende seinem Opfer ein künftiges Übel ankündigt oder in Aussicht stellt. Erforderlich ist ein Verhalten, das geeignet ist, die ge- schädigte Person in Schrecken oder Angst zu versetzen. Dabei ist grund- sätzlich ein objektiver Massstab anzulegen, wobei in der Regel auf das Em- pfinden eines vernünftigen Menschen mit einigermassen normaler psychi- scher Belastbarkeit abzustellen ist. Zudem ist erforderlich, dass die betrof-</w:t>
      </w:r>
    </w:p>
    <w:p>
      <w:r>
        <w:t>- 4 - fene Person durch das Verhalten des Täters tatsächlich in Schrecken oder Angst versetzt wird. Tritt dieser tatbestandsmässige Erfolg nicht ein, kommt nur eine Verurteilung wegen versuchter Drohung in Betracht. Der subjek- tive Tatbestand verlangt mindestens Eventualvorsatz (Urteile des Bundes- gerichts 6B_1151/2022 vom 29. August 2023 E. 2.2.3, 6B_425/2023 vom 14. August 2023 E. 2.3.1). Bei der Beurteilung sind namentlich die Um- stände sowie die Vorgeschichte der Äusserung zu berücksichtigen (Urteil des Bundesgerichts 6B_196/2018 vom 19. September 2018 E. 1.2.1).</w:t>
      </w:r>
    </w:p>
    <w:p>
      <w:r>
        <w:rPr>
          <w:b/>
        </w:rPr>
        <w:t>E. 2.3.1</w:t>
      </w:r>
    </w:p>
    <w:p>
      <w:r>
        <w:t>Gestützt auf die Strafanzeige der Beschwerdeführerin und die aktenkun- dige E-Mail von C._____, Kreisschule D._____, vom 20. Februar 2025 (Beilage 2 zur Strafanzeige) ist davon auszugehen, dass am 19. Februar 2025 während der grossen Morgenpause ein unbekannter Mann mit E._____ aus der Parallelklasse der Beschwerdeführerin gesprochen hat. Demgegenüber lässt sich dieser E-Mail nichts zum Verhalten des Unbe- kannten entnehmen. Ob der Unbekannte die Beschwerdeführerin tatsäch- lich – wie von der Beschwerdeführerin behauptet – "mit einer aggressiven Haltung" angestarrt und ihr "bösartige Blicke" zugeworfen hat (Strafan- zeige, Ziff. II.3.2.1), kann jedoch offenbleiben. Dies daher, weil mit der Staatsanwaltschaft Lenzburg-Aarau in einem solchen allfälligen Verhalten des Unbekannten keine tatbestandsmässige Handlung im Sinne von Art. 180 Abs. 1 StGB zu erblicken ist. Insbesondere ist nicht ersichtlich und wird von der Beschwerdeführerin auch nicht substantiiert dargelegt, wel- ches konkrete Übel der Unbekannte der Beschwerdeführerin mit einer "ag- gressiven Haltung" und "bösartigen Blicken" angedroht haben soll. Die "grosse Angst" und der "Schrecken" der Beschwerdeführerin sind dabei nicht als angedrohtes künftiges Übel anzusehen, sondern wären vielmehr der tatbestandsmässige Erfolg (VERA DELNON/BERNHARD RÜDY, in: Basler Kommentar, Strafrecht, 4. Aufl. 2019, N. 32 zu Art. 180 StGB). Selbst wenn sich der Unbekannte jedoch tatsächlich entsprechend verhalten hätte und von einem konkret angedrohten Übel auszugehen wäre, läge – trotz des Alters der Beschwerdeführerin von im mutmasslichen Tatzeitpunkt rund 10,5 Jahren – zumindest keine schwere Drohung im Rechtssinne (vgl. E. 2.2.2 hiervor) vor. Ungeachtet dessen erscheint sowohl der Beweis des angeblichen Verhaltens des Unbekannten als auch von dessen Vorsatz be- treffend die Drohung nahezu aussichtslos. Dies umso mehr, als die Be- schwerdeführerin in Bezug auf die mutmassliche Tathandlung des Unbe- kannten äusserst unspezifisch bleibt und auch in der Beschwerde nicht nä- her darlegt, worin etwa das "aggressive Verhalten" konkret bestanden hätte. Ob und allenfalls wie das behauptete Verhalten des Unbekannten vom 19. Februar 2025 im Zusammenhang mit der von der Beschwerdefüh- rerin erwähnten anderen Strafanzeige (vgl. Strafanzeige, Ziff. II.2) bezie- hungsweise dem Mobbingvorwurf gegen E._____ zu würdigen ist, ist nicht</w:t>
      </w:r>
    </w:p>
    <w:p>
      <w:r>
        <w:t>- 5 - Gegenstand des vorliegenden Beschwerdeverfahrens, weshalb sich hierzu weitere Ausführungen erübrigen.</w:t>
      </w:r>
    </w:p>
    <w:p>
      <w:r>
        <w:rPr>
          <w:b/>
        </w:rPr>
        <w:t>E. 2.3.2</w:t>
      </w:r>
    </w:p>
    <w:p>
      <w:r>
        <w:t>Zusammengefasst ist die Nichtanhandnahme der Strafsache durch die Staatsanwaltschaft Lenzburg-Aarau nicht zu beanstanden. Die Beschwer- de ist abzuweisen.</w:t>
      </w:r>
    </w:p>
    <w:p>
      <w:r>
        <w:rPr>
          <w:b/>
        </w:rPr>
        <w:t>E. 3</w:t>
      </w:r>
    </w:p>
    <w:p>
      <w:r>
        <w:t>Ausgangsgemäss sind die Kosten des Beschwerdeverfahrens der Be- schwerdeführerin aufzuerlegen (Art. 428 Abs. 1 StPO) und im Umfang der geleisteten Sicherheit mit dieser zu verrechnen. Eine Entschädigung ist ihr nicht zuzusprechen. Die Beschwerdekammer entscheidet: 1. Die Beschwerde wird abgewiesen. 2. Die Kosten des Beschwerdeverfahrens, bestehend aus einer Gerichtsge- bühr von Fr. 800.00 sowie den Auslagen von Fr. 54.00, zusammen Fr. 854.00, werden der Beschwerdeführerin auferlegt und in diesem Um- fang mit der von ihr geleisteten Sicherheit von Fr. 1'000.00 verrechnet.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- 6 - die sich eine Partei als Beweismittel beruft, sind beizulegen, soweit die Partei sie in Händen hat; ebenso ist der angefochtene Entscheid beizulegen (Art. 42 BGG). Für die Beschwerde- legitimation ist Art. 81 BGG massgebend. Aarau, 30. Juni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