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SBK.2025.354 vom 16. Februar 2026</w:t>
      </w:r>
    </w:p>
    <w:p>
      <w:r>
        <w:t>Ag Strafgericht, 2026-02-16, DE</w:t>
      </w:r>
    </w:p>
    <w:p>
      <w:r>
        <w:rPr>
          <w:b/>
        </w:rPr>
        <w:t xml:space="preserve">Quelle: </w:t>
      </w:r>
      <w:r>
        <w:t>https://mcp.opencaselaw.ch/entscheid/ag_strafgericht_SBK.2025.354</w:t>
      </w:r>
    </w:p>
    <w:p>
      <w:r>
        <w:t>FR: AG_STRAFGERICHT SBK.2025.354 du 16 février 2026</w:t>
      </w:r>
    </w:p>
    <w:p>
      <w:r>
        <w:t>IT: AG_STRAFGERICHT SBK.2025.354 del 16 febbraio 2026</w:t>
      </w:r>
    </w:p>
    <w:p>
      <w:pPr>
        <w:pStyle w:val="Heading2"/>
      </w:pPr>
      <w:r>
        <w:t>Erwägungen</w:t>
      </w:r>
    </w:p>
    <w:p>
      <w:r>
        <w:rPr>
          <w:b/>
        </w:rPr>
        <w:t>E. 1</w:t>
      </w:r>
    </w:p>
    <w:p>
      <w:r>
        <w:t>Die Verfügung der Präsidentin des Bezirksgerichts Kulm vom 26. Novem- ber 2025 unterliegt dem Beschwerderecht (Art. 393 Abs. 1 lit. b StPO). Der Beschwerdeführer ist durch die darin getroffene Feststellung, dass seine Einsprache ungültig und der Strafbefehl in Rechtskraft erwachsen sei, be- schwert und hat ein rechtlich geschütztes Interesse i. S. v. Art. 382 Abs. 1 StPO, die Verfügung der Präsidentin des Bezirksge- richts Kulm vom 26. November 2025 mit Beschwerde anzufechten. Auf seine gültig erhobene Beschwerde ist einzutreten.</w:t>
      </w:r>
    </w:p>
    <w:p>
      <w:r>
        <w:rPr>
          <w:b/>
        </w:rPr>
        <w:t>E. 2.1</w:t>
      </w:r>
    </w:p>
    <w:p>
      <w:r>
        <w:t>Der Beschwerdeführer bestritt mit Beschwerde (sinngemäss) zunächst die inhaltliche Richtigkeit des gegen ihn erlassenen Strafbefehls. Es gehe nicht an, ihn wegen Kunden, die er nicht einmal gut kenne, zu büssen. Damit nahm der Beschwerdeführer seine frühere Argumentation auf, wonach er der Rückgabeaufforderung des Strassenverkehrsamtes nicht rechtzeitig habe nachkommen können, weil die betreffenden Fahrzeuge vermietet ge- wesen seien und von den jeweiligen Mietern trotz mehrmaliger Hinweise nicht rechtzeitig retourniert worden seien (vgl. hierzu sein Schreiben an die Staatsanwaltschaft Zofingen-Kulm vom 30. Oktober 2025 [act. 31]).</w:t>
      </w:r>
    </w:p>
    <w:p>
      <w:r>
        <w:rPr>
          <w:b/>
        </w:rPr>
        <w:t>E. 2.2</w:t>
      </w:r>
    </w:p>
    <w:p>
      <w:r>
        <w:t>Gemäss Art. 356 Abs. 2 StPO entscheidet das erstinstanzliche Gericht nicht nur über die Gültigkeit der Einsprache, sondern auch des Strafbe- fehls. Bei dieser vorfrageweise vorzunehmenden Prüfung ist der Strafbe- fehl aber nicht umfassend auf seine inhaltliche Richtigkeit zu prüfen, son- dern lediglich auf Mängel "formaler Natur" (Urteil des Bundesgerichts 6B_1304/2018 vom 5. Februar 2019 E. 1.5). Ein ungültiger Strafbefehl im Sinne von Art. 356 Abs. 2 StPO liegt etwa vor, wenn die Sanktionsober- grenzen von Art. 352 Abs. 1 StPO missachtet worden sind. Nichtigkeit wird angenommen bei Anordnungen, deren Mangelhaftigkeit besonders schwer wiegt und offensichtlich oder zumindest leicht erkennbar ist. Ob der Sach- verhalt i. S. v. Art. 352 Abs. 1 StPO ausreichend geklärt ist, ist hingegen eine Frage der Beweiswürdigung und primäre Aufgabe des urteilenden Ge- richts. Eine Rückweisung des Strafbefehls an die Staatsanwaltschaft, weil</w:t>
      </w:r>
    </w:p>
    <w:p>
      <w:r>
        <w:t>- 4 - der Sachverhalt nicht hinreichend geklärt sein soll, kommt daher – anders als bei Mängeln formaler Natur – nicht in Frage (Urteil des Bundesgerichts 6B_434/2016 vom 27. März 2017 E. 1.2).</w:t>
      </w:r>
    </w:p>
    <w:p>
      <w:r>
        <w:rPr>
          <w:b/>
        </w:rPr>
        <w:t>E. 2.3</w:t>
      </w:r>
    </w:p>
    <w:p>
      <w:r>
        <w:t>Summarisch betrachtet ist nicht ohne Weiteres auszuschliessen, dass es sich bei den Vorbringen des Beschwerdeführers um blosse Schutzbehaup- tungen handelt. Zudem ist, selbst wenn man auf die Sachverhaltsdarstel- lung des Beschwerdeführers abstellt, summarisch betrachtet nicht ohne Weiteres auszuschliessen, dass der Beschwerdeführer die ihm obliegende Rückgabepflicht aus einer pflichtwidrigen Unsorgfalt heraus verletzte, was für eine Verurteilung genügen kann (vgl. Urteil des Bundesgerichts 6B_904/2018 vom 8. Februar 2019 E. 3.2 f.). Die Argumentation des Be- schwerdeführers ist somit weder in tatsächlicher noch rechtlicher Hinsicht derart überzeugend, dass der Erlass des Strafbefehls ohne Weiteres als qualifiziert falsch bzw. stossend bezeichnet werden könnte. Sie gründet auf Vorbringen, die nicht bei der vorfrageweisen Prüfung der Gültigkeit des Strafbefehls zu berücksichtigen sind, sondern im Rahmen des Hauptver- fahrens, dessen Durchführung aber eine gültige Einsprache voraussetzt (vgl. sogleich E. 3).</w:t>
      </w:r>
    </w:p>
    <w:p>
      <w:r>
        <w:rPr>
          <w:b/>
        </w:rPr>
        <w:t>E. 3.1</w:t>
      </w:r>
    </w:p>
    <w:p>
      <w:r>
        <w:t>Gegen den Strafbefehl kann die beschuldigte Person bei der Staatsanwalt- schaft innert 10 Tagen schriftlich Einsprache erheben (Art. 354 Abs. 1 lit. a StPO). Ohne gültige Einsprache wird der Strafbefehl zum rechtskräftigen Urteil (Art. 354 Abs. 3 StPO). Ist die Gültigkeit der Einsprache gegen den Strafbefehl umstritten, so entscheidet darüber nicht die Staatsanwaltschaft, sondern das erstinstanzliche Gericht (Art. 356 Abs. 2 StPO). Ungültig ist die Einsprache unter anderem, wenn sie verspätet ist (BGE 142 IV 201 E. 2.2). Allfällige Säumnisfolgen bei Fristen können unter Umständen mit der Wie- derherstellung behoben werden. Hat eine Partei eine Frist versäumt und würde ihr daraus ein erheblicher und unersetzlicher Rechtsverlust erwach- sen, so kann sie bei der Behörde, bei welcher die versäumte Verfahrens- handlung hätte vorgenommen werden sollen, die Wiederherstellung der Frist verlangen; dabei hat sie glaubhaft zu machen, dass sie an der Säum- nis kein Verschulden trifft (Art. 94 Abs. 1 und 2 StPO). Die Frage nach der Wiederherstellung der Einsprachefrist gegen einen Strafbefehl durch die Staatsanwaltschaft stellt sich aber erst, wenn feststeht, dass die Ein- sprachefrist versäumt wurde (BGE 142 IV 201 E. 2.4).</w:t>
      </w:r>
    </w:p>
    <w:p>
      <w:r>
        <w:rPr>
          <w:b/>
        </w:rPr>
        <w:t>E. 3.2</w:t>
      </w:r>
    </w:p>
    <w:p>
      <w:r>
        <w:t>Die Präsidentin des Bezirksgerichts Kulm stellte fest, dass die Einsprache verspätet und damit ungültig sei. Sie begründete diese Feststellung in ihrer</w:t>
      </w:r>
    </w:p>
    <w:p>
      <w:r>
        <w:t>- 5 - E. 2.2 damit, dass der Strafbefehl dem Beschwerdeführer am 18. Septem- ber 2025 zugestellt worden sei, womit die Einsprachefrist vom 19. – 28. September 2025 gelaufen sei. Der Beschwerdeführer habe erst am 30. Oktober 2025 Einsprache erhoben, mithin verspätet. Der Hinweis des Beschwerdeführers, im Juni im Ausland und im September krank ge- wesen zu sein, ändere hieran nichts, zumal der Beschwerdeführer nicht vorgebracht habe, dass ihm der Strafbefehl erst später zur Kenntnis ge- langt sei.</w:t>
      </w:r>
    </w:p>
    <w:p>
      <w:r>
        <w:rPr>
          <w:b/>
        </w:rPr>
        <w:t>E. 3.3</w:t>
      </w:r>
    </w:p>
    <w:p>
      <w:r>
        <w:t>Der Beschwerdeführer brachte mit Beschwerde nichts vor, was die Fest- stellung der Präsidentin des Bezirksgerichts Kulm, dass die Einsprache zu spät erhoben worden sei, falsch erscheinen liesse. Auch in Berücksichti- gung der Verfahrensakten ist diese Feststellung nicht zu beanstanden. Selbst wenn der Beschwerdeführer wegen der von ihm behaupteten Krank- heit die Einsprachefrist verpasst haben sollte, änderte dies nichts daran, dass er die Einsprachefrist nicht eingehalten hat, sondern stellte sich allen- falls die Frage, ob dieses Versäumnis, wie vom Beschwerdeführer bereits gegenüber der Staatsanwaltschaft Zofingen-Kulm sinngemäss geltend ge- macht (vgl. sein Schreiben vom 30. Oktober 2025), i. S. v. Art. 94 Abs. 1 StPO unverschuldet war und eine Wiederherstellung der Einsprachefrist rechtfertigt. Die Präsidentin des Bezirksgerichts Kulm hatte aber nicht über diese in die Zuständigkeit der Staatsanwaltschaft Zo- fingen-Kulm fallende Frage zu befinden, sondern einzig über die vom Be- schwerdeführer (zumindest formell) bestrittene Rechtzeitigkeit und damit Gültigkeit der Einsprache. Dies hat sie in einer nicht zu beanstandenden Weise getan. Weil sie dabei die Ungültigkeit der Einsprache feststellte, hatte sie sich auch nicht weiter zur inhaltlichen Richtigkeit des Strafbefehls zu äussern. Die gegen ihren Entscheid erhobene Beschwerde erweist sich damit als unbegründet und ist abzuweisen.</w:t>
      </w:r>
    </w:p>
    <w:p>
      <w:r>
        <w:rPr>
          <w:b/>
        </w:rPr>
        <w:t>E. 4</w:t>
      </w:r>
    </w:p>
    <w:p>
      <w:r>
        <w:t>Die Kosten des Beschwerdeverfahrens sind ausgangsgemäss dem mit sei- ner Beschwerde unterliegenden Beschwerdeführer aufzuerlegen (Art. 428 Abs. 1 StPO). Entschädigungen sind keine auszurichten. Die Beschwerdekammer entscheidet: 1. Die Beschwerde wird abgewiesen. 2. Die Kosten des Beschwerdeverfahrens, bestehend aus einer Gerichtsge- bühr von Fr. 600.00 und den Auslagen von Fr. 38.00, zusammen Fr. 638.00, werden dem Beschwerdeführer auferlegt.</w:t>
      </w:r>
    </w:p>
    <w:p>
      <w:r>
        <w:t>- 6 -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Februar 2026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