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SBK.2025.325 vom 16. Dezember 2025</w:t>
      </w:r>
    </w:p>
    <w:p>
      <w:r>
        <w:t>Ag Strafgericht, 2025-12-16, DE</w:t>
      </w:r>
    </w:p>
    <w:p>
      <w:r>
        <w:rPr>
          <w:b/>
        </w:rPr>
        <w:t xml:space="preserve">Quelle: </w:t>
      </w:r>
      <w:r>
        <w:t>https://mcp.opencaselaw.ch/entscheid/ag_strafgericht_SBK.2025.325</w:t>
      </w:r>
    </w:p>
    <w:p>
      <w:r>
        <w:t>FR: AG_STRAFGERICHT SBK.2025.325 du 16 décembre 2025</w:t>
      </w:r>
    </w:p>
    <w:p>
      <w:r>
        <w:t>IT: AG_STRAFGERICHT SBK.2025.325 del 16 dicembre 2025</w:t>
      </w:r>
    </w:p>
    <w:p>
      <w:pPr>
        <w:pStyle w:val="Heading2"/>
      </w:pPr>
      <w:r>
        <w:t>Erwägungen</w:t>
      </w:r>
    </w:p>
    <w:p>
      <w:r>
        <w:rPr>
          <w:b/>
        </w:rPr>
        <w:t>E. 1.1</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w:t>
      </w:r>
    </w:p>
    <w:p>
      <w:r>
        <w:t>- 3 - gesuch einer Partei, das sich auf Art. 56 lit. b-e StPO abstützt, entscheidet die nach Art. 59 Abs. 1 lit. a-d StPO zuständige Behörde.</w:t>
      </w:r>
    </w:p>
    <w:p>
      <w:r>
        <w:rPr>
          <w:b/>
        </w:rPr>
        <w:t>E. 1.2</w:t>
      </w:r>
    </w:p>
    <w:p>
      <w:r>
        <w:t>Das Ausstandsgesuch stützt sich auf Art. 56 lit. a und f StPO und betrifft ein erstinstanzliches Gericht, womit für die Beurteilung des Gesuchs ge- mäss Art. 59 Abs. 1 lit. b StPO i.V.m. § 13 Abs. 1 EG StPO und § 10 sowie Anhang 1 Ziff. 2 Abs. 5 lit. b der Geschäftsordnung des Obergerichts des Kantons Aargau vom 21. November 2012 (GKA 155.200.3.101) die Be- schwerdekammer in Strafsachen des Obergerichts zuständig ist.</w:t>
      </w:r>
    </w:p>
    <w:p>
      <w:r>
        <w:rPr>
          <w:b/>
        </w:rPr>
        <w:t>E. 2.1</w:t>
      </w:r>
    </w:p>
    <w:p>
      <w:r>
        <w:t>Nach Art. 56 lit. a StPO tritt eine in einer Strafbehörde tätige Person in den Ausstand, wenn sie in der Sache ein persönliches Interesse hat. Im Sinne von Art. 56 lit. a StPO ist von der Mitwirkung in einem Straffall ausgeschlos- sen, wer am Ausgang des Verfahrens ein primär materielles, allenfalls auch ein anders geartetes Interesse hat. Es sind vorab Fälle, in denen die Jus- tizperson selber Partei, namentlich Geschädigte ist. Erfasst werden sämtli- che direkten oder indirekten Interessen, seien sie tatsächlicher, etwa finan- zieller, oder ideeller Natur. Soweit nur eine indirekte bzw. mittelbare Betrof- fenheit vorliegt, muss die Person jedenfalls so intensiv tangiert sein, dass eine ernsthafte Gefahr der Unsachlichkeit besteht. Erforderlich ist eine spürbare persönliche Beziehungsnähe zum Streitgegenstand (vgl. Urteil des Bundesgerichts 7B_204/2023 vom 27. Februar 2024 E. 2.1 mit weite- ren Hinweisen; JOSITSCH/SCHMID, Handbuch des schweizerischen Straf- prozessrechts, 4. Aufl. 2023, N. 513). Nach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(vgl. BGE 141 IV 178 E. 3.2.1).</w:t>
      </w:r>
    </w:p>
    <w:p>
      <w:r>
        <w:rPr>
          <w:b/>
        </w:rPr>
        <w:t>E. 2.2</w:t>
      </w:r>
    </w:p>
    <w:p>
      <w:r>
        <w:t>Bei der Auslegung der Ausstandsregeln der StPO ist der Rechtsprechung zu Art. 30 Abs. 1 BV Rechnung zu tragen (BOOG, in: Basler Kommentar, Schweizerische Strafprozessordnung, 3. Aufl. 2023, N. 1 der Vorbemer- kungen zu Art. 56 - 60 StPO). Gemäss Art. 30 Abs. 1 BV und Art. 6 Ziff. 1 EMRK hat jede Person Anspruch darauf, dass ihre Sache von einem durch Gesetz geschaffenen, zuständigen, unabhängigen und unparteiischen Ge- richt ohne Einwirken sachfremder Umstände entschieden wird. Dieser An- spruch ist verletzt, wenn bei einer Gerichtsperson – objektiv betrachtet – Gegebenheiten vorliegen, die den Anschein der Befangenheit und die Ge- fahr der Voreingenommenheit zu begründen vermögen. Solche Umstände</w:t>
      </w:r>
    </w:p>
    <w:p>
      <w:r>
        <w:t>- 4 - können entweder in einem bestimmten Verhalten der betreffenden Person oder in äusseren Gegebenheiten funktioneller und organisatorischer Natur begründet sein. Dabei ist nicht auf das subjektive Empfinden einer Partei abzustellen. Das Misstrauen in die Unvoreingenommenheit muss vielmehr in objektiver Weise begründet erscheinen. Es genügt, wenn Umstände vor- liegen, die bei objektiver Betrachtung den Anschein der Befangenheit und Voreingenommenheit erwecken. Für die Ablehnung ist nicht erforderlich, dass das Gericht tatsächlich befangen ist (BGE 144 I 234 E. 5.2; 143 IV 69 E. 3.2; 141 IV 178 E. 3.2.1; je mit Hinweisen). Ein kollegiales Verhältnis bzw. die berufliche Beziehung zwischen der in der Strafbehörde tätigen Person und einer Verfahrenspartei oder deren Rechtsbeistand begründen noch keinen Ausstandsgrund, sofern keine weiteren, konkreten Umstände auf mangelnde Unvoreingenommenheit schliessen lassen. So vermag bei objektiver Betrachtung der Umstand allein, dass sowohl die das Strafver- fahren leitende Staatsanwältin als auch die als Privatklägerschaft am Straf- verfahren beteiligte Person bei der gleichen Staatsanwaltschaft beschäftigt sind, den Anschein der Befangenheit und Voreingenommenheit nicht zu erwecken (Urteile des Bundesgerichts 6B_662/2022 vom 21. September 2022 E. 1.3 f. und 1B_598/2012 vom 11. Dezember 2012 E. 3.3).</w:t>
      </w:r>
    </w:p>
    <w:p>
      <w:r>
        <w:rPr>
          <w:b/>
        </w:rPr>
        <w:t>E. 2.3.1</w:t>
      </w:r>
    </w:p>
    <w:p>
      <w:r>
        <w:t>Gerichtspräsident Beat Ackle hat sich als Strafkläger konstituiert (act. 7 und 12) und beteiligt sich damit als Partei am Strafverfahren gegen den Be- schuldigten. Entsprechend hat er ein persönliches Interesse am Ausgang des Strafverfahrens. Der Ausstandsgrund gemäss Art. 56 lit. a StPO ist da- mit erfüllt.</w:t>
      </w:r>
    </w:p>
    <w:p>
      <w:r>
        <w:rPr>
          <w:b/>
        </w:rPr>
        <w:t>E. 2.3.2</w:t>
      </w:r>
    </w:p>
    <w:p>
      <w:r>
        <w:t>Zwischen Gerichtspräsident Beat Ackle und Gerichtspräsidentin Pamela Meister besteht eine enge berufsbedingte Beziehungsnähe. Die tägliche Zusammenarbeit am Bezirksgericht Laufenburg bringt zudem regelmäs- sige persönliche Kontakte mit sich. Bei objektiver Betrachtung ist von ei- nem offensichtlich bestehenden besonderen Näheverhältnis auszugehen, welches hinsichtlich Gerichtspräsidentin Pamela Meister im Strafverfahren gegen den Beschuldigten, an welchem Gerichtspräsident Beat Ackle als Strafkläger beteiligt ist, den Anschein der Befangenheit zu begründen ver- mag. Der Ausstandsgrund gemäss Art. 56 lit. f StPO ist somit zu bejahen.</w:t>
      </w:r>
    </w:p>
    <w:p>
      <w:r>
        <w:rPr>
          <w:b/>
        </w:rPr>
        <w:t>E. 2.3.3</w:t>
      </w:r>
    </w:p>
    <w:p>
      <w:r>
        <w:t>Insgesamt ist das Ausstandsgesuch gutzuheissen.</w:t>
      </w:r>
    </w:p>
    <w:p>
      <w:r>
        <w:rPr>
          <w:b/>
        </w:rPr>
        <w:t>E. 3</w:t>
      </w:r>
    </w:p>
    <w:p>
      <w:r>
        <w:t>Nachdem eine Stellvertretung innerhalb des Bezirksgerichts Laufenburg ausgeschlossen ist, ist die vorliegende Strafsache an ein anderes Bezirks-</w:t>
      </w:r>
    </w:p>
    <w:p>
      <w:r>
        <w:t>- 5 - gericht zu übertragen. Zuständig hierfür ist die Justizleitung (§ 49 Abs. 3 GOG), an welche die Sache deshalb nach Rechtskraft zu überweisen ist.</w:t>
      </w:r>
    </w:p>
    <w:p>
      <w:r>
        <w:rPr>
          <w:b/>
        </w:rPr>
        <w:t>E. 4</w:t>
      </w:r>
    </w:p>
    <w:p>
      <w:r>
        <w:t>Bei diesem Ausgang sind die Kosten des Ausstandsverfahrens auf die Staatskasse zu nehmen (Art. 59 Abs. 4 StPO). Die Beschwerdekammer entscheidet: 1. Das Ausstandsgesuch des Bezirksgerichts Laufenburg in der Strafsache gegen A._____ (ST.2025.4077) wird gutgeheissen. 2. Die Verfahrenskosten werden auf die Staatskasse genommen.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- 6 - Aarau, 16. Dezember 2025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