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SBK.2025.29 vom 22. April 2025</w:t>
      </w:r>
    </w:p>
    <w:p>
      <w:r>
        <w:t>Ag Strafgericht, 2025-04-22, DE</w:t>
      </w:r>
    </w:p>
    <w:p>
      <w:r>
        <w:rPr>
          <w:b/>
        </w:rPr>
        <w:t xml:space="preserve">Quelle: </w:t>
      </w:r>
      <w:r>
        <w:t>https://mcp.opencaselaw.ch/entscheid/ag_strafgericht_SBK.2025.29</w:t>
      </w:r>
    </w:p>
    <w:p>
      <w:r>
        <w:t>FR: AG_STRAFGERICHT SBK.2025.29 du 22 avril 2025</w:t>
      </w:r>
    </w:p>
    <w:p>
      <w:r>
        <w:t>IT: AG_STRAFGERICHT SBK.2025.29 del 22 aprile 2025</w:t>
      </w:r>
    </w:p>
    <w:p>
      <w:pPr>
        <w:pStyle w:val="Heading2"/>
      </w:pPr>
      <w:r>
        <w:t>Erwägungen</w:t>
      </w:r>
    </w:p>
    <w:p>
      <w:r>
        <w:rPr>
          <w:b/>
        </w:rPr>
        <w:t>E. 1.1</w:t>
      </w:r>
    </w:p>
    <w:p>
      <w:r>
        <w:t>Die Parteien können eine Nichtanhandnahmeverfügung innert 10 Tagen mit Beschwerde anfechten (Art. 310 Abs. 2 StPO i.V.m. Art. 322 Abs. 2 StPO; Art. 393 Abs. 1 lit. a StPO). Partei ist u.a. die Privatklägerschaft (Art. 104 Abs. 1 lit. b StPO), mithin die durch eine (behauptete) Straftat in ihren Rechten unmittelbar geschädigte Person (Art. 115 Abs. 1 StPO), die ausdrücklich erklärt, sich am Strafverfahren als Straf- oder Zivilklägerin zu beteiligen (Art. 118 Abs. 1 StPO), oder die einen Strafantrag stellt (Art. 118 Abs. 2 StPO).</w:t>
      </w:r>
    </w:p>
    <w:p>
      <w:r>
        <w:rPr>
          <w:b/>
        </w:rPr>
        <w:t>E. 1.2</w:t>
      </w:r>
    </w:p>
    <w:p>
      <w:r>
        <w:t>Ausweislich der Akten hat der Beschwerdeführer am 16. Dezember 2024 hinsichtlich des von ihm am 7. Dezember 2024 beanzeigten Hausfriedens- bruchs und der Sachbeschädigung Strafantrag gegen die Beschuldigte ge- stellt und sich darin als Straf- und Zivilkläger konstituiert (Beschwerdebei- lage [BB] 4). Folglich ist er zur Beschwerdeerhebung legitimiert. Die übri- gen Eintretensvoraussetzungen sind erfüllt und geben zu keinen Bemer- kungen Anlass. Auf die frist- und formgerecht eingereichte Beschwerde (vgl. Art. 396 Abs. 1 i.V.m. Art. 385 Abs. 1 StPO) ist deshalb einzutreten.</w:t>
      </w:r>
    </w:p>
    <w:p>
      <w:r>
        <w:rPr>
          <w:b/>
        </w:rPr>
        <w:t>E. 2.1</w:t>
      </w:r>
    </w:p>
    <w:p>
      <w:r>
        <w:t>Die Staatsanwaltschaft Zofingen-Kulm führte in der angefochtenen Nicht- anhandnahmeverfügung zum hier Wesentlichen aus, gemäss den überein- stimmenden Aussagen des getrenntlebenden Ehepaars habe sich die Be- schuldigte am 7. Dezember 2024 um Mitternacht bzw. kurz danach Zugang zum Haus des Beschwerdeführers verschafft, indem sie ein Fenster einge- schlagen und das Haus durch dieses Fenster betreten habe. Der Be- schwerdeführer habe diesen Vorfall gefilmt. Das fragliche Video befinde sich nicht in den Akten. Es sei fraglich, was sich genau zwischen den Par- teien abgespielt habe. Hinzu komme, dass der Beschwerdeführer bislang keinen Strafantrag gegen die Beschuldigte gestellt habe.</w:t>
      </w:r>
    </w:p>
    <w:p>
      <w:r>
        <w:rPr>
          <w:b/>
        </w:rPr>
        <w:t>E. 2.2</w:t>
      </w:r>
    </w:p>
    <w:p>
      <w:r>
        <w:t>Mit Beschwerde bringt der Beschwerdeführer im Wesentlichen vor, dass die Ausführungen der Staatsanwaltschaft Zofingen-Kulm nicht zuträfen. Auf Seiten des Beschwerdeführers liege erwiesenermassen ein Strafantrag vor (BB 4). Zudem ergebe sich aus dem Polizeirapport ganz genau, was sich am besagten Abend zugetragen habe. Der Bericht führe aus, dass sich die Beschuldigte Zugang zum Haus des Beschwerdeführers verschafft habe, obwohl dieser im vornherein gesagt habe, er wolle nicht, dass sie zu</w:t>
      </w:r>
    </w:p>
    <w:p>
      <w:r>
        <w:t>- 4 - ihm komme (Hausfriedensbruch). Dabei habe die Beschuldigte eine Scheibe beschädigt (Sachbeschädigung).</w:t>
      </w:r>
    </w:p>
    <w:p>
      <w:r>
        <w:rPr>
          <w:b/>
        </w:rPr>
        <w:t>E. 2.3</w:t>
      </w:r>
    </w:p>
    <w:p>
      <w:r>
        <w:t>Mit Beschwerdeantwort führt die Staatsanwaltschaft Zofingen-Kulm aus, dass sie die Nichtanhandnahmeverfügung gestützt auf die Anzeige der Re- gionalpolizei erlassen habe. Aus den Akten habe sich zum damaligen Zeit- punkt nicht ergeben, dass die Strafsache der Kantonspolizei übergeben worden sei und diese im Nachgang rapportieren würde. Ebensowenig habe die Staatsanwaltschaft Zofingen-Kulm vom Strafantrag Kenntnis gehabt. Aus der von der Polizei eingeholten Amtsauskunft ergebe sich, dass der Beschwerdeführer am 16. Dezember 2024 Strafantrag gestellt habe und das von der Kantonspolizei geführte Ermittlungsverfahren seinen Gang ge- nommen habe. Dementsprechend sei die Beschwerde begründet.</w:t>
      </w:r>
    </w:p>
    <w:p>
      <w:r>
        <w:rPr>
          <w:b/>
        </w:rPr>
        <w:t>E. 3</w:t>
      </w:r>
    </w:p>
    <w:p>
      <w:r>
        <w:t>Wie die Staatsanwaltschaft Zofingen-Kulm zu Recht erkannt hat, ist die Be- schwerde begründet. Der zur Anzeige gebrachte Sachverhalt ist genügend umschrieben und es steht derzeit nicht fest, dass die fraglichen Straftatbe- stände (Sachbeschädigung und Hausfriedensbruch) eindeutig nicht erfüllt sind. Zudem liegt mit dem Strafantrag vom 16. Dezember 2024 die für die Ahndung von Antragsdelikten notwendige Prozessvoraussetzung vor. Die Voraussetzungen für den Erlass einer Nichtanhandnahmeverfügung ge- stützt auf Art. 310 Abs. 1 lit. a StPO sind folglich nicht erfüllt, weshalb die angefochtene Nichtanhandnahmeverfügung in Gutheissung der Be- schwerde aufzuheben ist.</w:t>
      </w:r>
    </w:p>
    <w:p>
      <w:r>
        <w:rPr>
          <w:b/>
        </w:rPr>
        <w:t>E. 4.1</w:t>
      </w:r>
    </w:p>
    <w:p>
      <w:r>
        <w:t>Bei diesem Ausgang des Beschwerdeverfahrens sind die obergerichtlichen Verfahrenskosten auf die Staatskasse zu nehmen (Art. 428 Abs. 4 StPO).</w:t>
      </w:r>
    </w:p>
    <w:p>
      <w:r>
        <w:rPr>
          <w:b/>
        </w:rPr>
        <w:t>E. 4.2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Entschädigung wird somit im Rahmen der Regelung der Entschädigung im Endentscheid entspre- chend dem Verfahrensausgang zu behandeln sein (Art. 421 Abs. 1 StPO; vgl. Urteil des Bundesgerichts 1B_531/2012 vom 27. November 2012 E. 3).</w:t>
      </w:r>
    </w:p>
    <w:p>
      <w:r>
        <w:t>- 5 - Die Beschwerdekammer entscheidet: 1. In Gutheissung der Beschwerde wird die Nichtanhandnahmeverfügung der Staatsanwaltschaft Zofingen-Kulm vom 9. Januar 2025 betreffend BA._____ aufgehoben und die Sache an die Staatsanwaltschaft Zofingen- Kulm zurückgewiesen. 2. Die Kosten des obergerichtlichen Beschwerdeverfahrens werden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22. April 2025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