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SBK.2025.289 vom 31. Oktober 2025</w:t>
      </w:r>
    </w:p>
    <w:p>
      <w:r>
        <w:t>Ag Strafgericht, 2025-10-31, DE</w:t>
      </w:r>
    </w:p>
    <w:p>
      <w:r>
        <w:rPr>
          <w:b/>
        </w:rPr>
        <w:t xml:space="preserve">Quelle: </w:t>
      </w:r>
      <w:r>
        <w:t>https://mcp.opencaselaw.ch/entscheid/ag_strafgericht_SBK.2025.289</w:t>
      </w:r>
    </w:p>
    <w:p>
      <w:r>
        <w:t>FR: AG_STRAFGERICHT SBK.2025.289 du 31 octobre 2025</w:t>
      </w:r>
    </w:p>
    <w:p>
      <w:r>
        <w:t>IT: AG_STRAFGERICHT SBK.2025.289 del 31 ottobre 2025</w:t>
      </w:r>
    </w:p>
    <w:p>
      <w:pPr>
        <w:pStyle w:val="Heading2"/>
      </w:pPr>
      <w:r>
        <w:t>Erwägungen</w:t>
      </w:r>
    </w:p>
    <w:p>
      <w:r>
        <w:rPr>
          <w:b/>
        </w:rPr>
        <w:t>E. 1.1</w:t>
      </w:r>
    </w:p>
    <w:p>
      <w:r>
        <w:t>Heisst das Bundesgericht eine Beschwerde gut und weist es die Angele- genheit zur neuen Beurteilung an die Vorinstanz zurück, darf sich diese von Bundesrechts wegen nur noch mit jenen Punkten befassen, die das Bun- 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 urteilung ergibt. Das Verfahren wird nur insoweit neu in Gang gesetzt, als dies notwendig ist, um den verbindlichen Erwägungen des Bundesgerichts Rechnung zu tragen (BGE 143 IV 214 E. 5.2.1, Urteil des Bundesgerichts 7B_890/2024 vom 31. Oktober 2024 E. 5.2.1).</w:t>
      </w:r>
    </w:p>
    <w:p>
      <w:r>
        <w:t>- 4 -</w:t>
      </w:r>
    </w:p>
    <w:p>
      <w:r>
        <w:rPr>
          <w:b/>
        </w:rPr>
        <w:t>E. 1.2</w:t>
      </w:r>
    </w:p>
    <w:p>
      <w:r>
        <w:t>Das Bundesgericht wies die Sache im Urteil 7B_971/2024 vom 25. Sep- tember 2025 zur Weiterführung der Untersuchung an die Staatsanwalt- schaft Lenzburg-Aarau sowie zur Neuregelung der Kosten- und Entschädi- gungsfolgen des kantonalen Verfahrens an das Obergericht des Kantons Aargau zurück (E. 3; Dispositiv-Ziff. 1).</w:t>
      </w:r>
    </w:p>
    <w:p>
      <w:r>
        <w:rPr>
          <w:b/>
        </w:rPr>
        <w:t>E. 1.3</w:t>
      </w:r>
    </w:p>
    <w:p>
      <w:r>
        <w:t>Dementsprechend hat die Beschwerdekammer in Strafsachen des Ober- gerichts des Kantons Aargau nachfolgend einzig die Kosten- und Entschä- digungsfolgen des kantonalen Verfahrens neu zu regeln.</w:t>
      </w:r>
    </w:p>
    <w:p>
      <w:r>
        <w:rPr>
          <w:b/>
        </w:rPr>
        <w:t>E. 2.1</w:t>
      </w:r>
    </w:p>
    <w:p>
      <w:r>
        <w:t>Die Kosten des Rechtsmittelverfahrens tragen die Parteien nach Massgabe ihres Obsiegens oder Unterliegens. Ausgangsgemäss sind die Kosten des Beschwerdeverfahrens auf die Staatskasse zu nehmen (Art. 428 Abs. 1 StPO).</w:t>
      </w:r>
    </w:p>
    <w:p>
      <w:r>
        <w:rPr>
          <w:b/>
        </w:rPr>
        <w:t>E. 2.2</w:t>
      </w:r>
    </w:p>
    <w:p>
      <w:r>
        <w:t>Der Anspruch der Beschwerdeführerin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Entschädigung wird somit im Rahmen der Regelung der Entschädigung im Endentscheid und in Ab- hängigkeit vom Verfahrensausgang zu behandeln und zu verlegen sein (Art. 421 Abs. 1 StPO; vgl. Urteil des Bundesgerichts 1B_531/2012 vom 27. November 2012 E. 3). Die Beschwerdekammer entscheidet: Die Kosten des Beschwerdeverfahrens SBK.2024.112 werden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- 5 -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31. Oktober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