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SBK.2025.225 vom 5. Januar 2026</w:t>
      </w:r>
    </w:p>
    <w:p>
      <w:r>
        <w:t>Ag Strafgericht, 2026-01-05, DE</w:t>
      </w:r>
    </w:p>
    <w:p>
      <w:r>
        <w:rPr>
          <w:b/>
        </w:rPr>
        <w:t xml:space="preserve">Quelle: </w:t>
      </w:r>
      <w:r>
        <w:t>https://mcp.opencaselaw.ch/entscheid/ag_strafgericht_SBK.2025.225</w:t>
      </w:r>
    </w:p>
    <w:p>
      <w:r>
        <w:t>FR: AG_STRAFGERICHT SBK.2025.225 du 5 janvier 2026</w:t>
      </w:r>
    </w:p>
    <w:p>
      <w:r>
        <w:t>IT: AG_STRAFGERICHT SBK.2025.225 del 5 gennaio 2026</w:t>
      </w:r>
    </w:p>
    <w:p>
      <w:pPr>
        <w:pStyle w:val="Heading2"/>
      </w:pPr>
      <w:r>
        <w:t>Erwägungen</w:t>
      </w:r>
    </w:p>
    <w:p>
      <w:r>
        <w:rPr>
          <w:b/>
        </w:rPr>
        <w:t>E. 1.1</w:t>
      </w:r>
    </w:p>
    <w:p>
      <w:r>
        <w:t>Verfügungen und Verfahrenshandlungen der Staatsanwaltschaft sind mit Beschwerde anfechtbar (Art. 393 Abs. 1 lit. a StPO). Beschwerdeaus- schlussgründe gemäss Art. 394 StPO liegen nicht vor. Damit ist die Be- schwerde zulässig.</w:t>
      </w:r>
    </w:p>
    <w:p>
      <w:r>
        <w:rPr>
          <w:b/>
        </w:rPr>
        <w:t>E. 1.2.1</w:t>
      </w:r>
    </w:p>
    <w:p>
      <w:r>
        <w:t>Jede Partei, die ein rechtlich geschütztes Interesse an der Aufhebung oder Änderung eines Entscheides hat, kann ein Rechtsmittel ergreifen (Art. 382 Abs. 1 StPO). Das vorausgesetzte rechtlich geschützte Interesse an der Aufhebung oder Änderung des angefochtenen Entscheids bezieht sich auf die notwendige Beschwer der betreffenden Partei. Sie muss selbst und un- mittelbar in ihren Interessen tangiert sein. Eine bloss mittelbare oder fakti- sche Betroffenheit genügt nicht. Das rechtlich geschützte Interesse ergibt sich grundsätzlich aus dem Dispositiv (JÜRG BÄHLER, in: Basler Kommen- tar, Schweizerische Strafprozessordnung, 3. Aufl. 2023, N. 5 f. zu Art. 382 StPO).</w:t>
      </w:r>
    </w:p>
    <w:p>
      <w:r>
        <w:rPr>
          <w:b/>
        </w:rPr>
        <w:t>E. 1.2.2</w:t>
      </w:r>
    </w:p>
    <w:p>
      <w:r>
        <w:t>Gegenstand des vorliegenden Beschwerdeverfahrens ist einzig die mit Be- schwerde angefochtene Verfügung vom 8. August 2025, mit welcher das Gesuch der Beschwerdeführer um Wiederaufnahme des gegen den Be- schuldigten geführten Strafverfahrens ST.2016.3239 abgewiesen wurde. Die Staatsanwaltschaft Rheinfelden-Laufenburg führte das (schliesslich eingestellte) Strafverfahren ST.2016.3239 gegen den Beschuldigten und die Beschwerdeführer als beschuldigte Personen. Die D._____ AG war Ge- schädigte gemäss Art. 115 Abs. 1 StPO und nahm zunächst (bis zu ihrer Desinteresseerklärung) als Zivil- und Strafklägerin (Art. 118 Abs. 1 StPO) am Verfahren teil. Dem gegen den Beschuldigten geführten Strafverfahren ST.2016.3239 lagen keine Tatvorwürfe zum Nachteil der Beschwerdefüh- rer zugrunde, womit die Beschwerdeführer auch kein rechtlich geschütztes Interesse an einer Wiederaufnahme dieses Verfahrens haben. Dass sich die Beschwerdeführer im Beschwerdeverfahren als Geschädigte bezeich- nen (Beschwerde S. 5), vermag daran nichts zu ändern. Insbesondere kann mittels eines Gesuchs um Wiederaufnahme eines eingestellten Ver- fahrens (Art. 323 StPO) kein anderer Lebenssachverhalt geprüft werden, als derjenige, welcher der Einstellungsverfügung zugrunde lag. Entsprechend besteht auch kein rechtlich geschütztes Interesse an der Überprüfung der angefochtenen Abweisung des Antrags auf Wiederauf-</w:t>
      </w:r>
    </w:p>
    <w:p>
      <w:r>
        <w:t>- 7 - nahme des Verfahrens ST.2016.3239 gegen den Beschuldigten. Auf die Beschwerde ist damit nicht einzutreten.</w:t>
      </w:r>
    </w:p>
    <w:p>
      <w:r>
        <w:rPr>
          <w:b/>
        </w:rPr>
        <w:t>E. 2</w:t>
      </w:r>
    </w:p>
    <w:p>
      <w:r>
        <w:t>Mit diesem Entscheid wird das Gesuch um aufschiebende Wirkung der Be- schwerde gegenstandslos.</w:t>
      </w:r>
    </w:p>
    <w:p>
      <w:r>
        <w:rPr>
          <w:b/>
        </w:rPr>
        <w:t>E. 3</w:t>
      </w:r>
    </w:p>
    <w:p>
      <w:r>
        <w:t>Die Obergerichtskasse wird angewiesen, dem Verteidiger des Beschuldig- ten für das Beschwerdeverfahren eine Entschädigung von Fr. 3'206.70 (inkl. Auslagen und MwSt) auszubezahlen.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5. Januar 2026 Obergericht des Kantons Aargau Beschwerdekammer in Strafsachen Der Präsident: Die Gerichtsschreiberin: Richli Boog Klingler</w:t>
      </w:r>
    </w:p>
    <w:p>
      <w:r>
        <w:rPr>
          <w:b/>
        </w:rPr>
        <w:t>E. 3.1</w:t>
      </w:r>
    </w:p>
    <w:p>
      <w:r>
        <w:t>Ausgangsgemäss sind die Kosten des obergerichtlichen Beschwerdever- fahrens den unterliegenden Beschwerdeführern aufzuerlegen (Art. 428 Abs. 1 StPO). Es ist ihnen entsprechend keine Entschädigung auszurich- ten.</w:t>
      </w:r>
    </w:p>
    <w:p>
      <w:r>
        <w:rPr>
          <w:b/>
        </w:rPr>
        <w:t>E. 3.2</w:t>
      </w:r>
    </w:p>
    <w:p>
      <w:r>
        <w:t>Der Verteidiger des obsiegenden Beschuldigten ist für das Beschwerdever- fahren zu entschädigen (Art. 436 StPO i.V.m. Art. 429 Abs. 3 StPO). Der Verteidiger reichte am 3. Oktober 2025 eine Kostennote ein. Er machte einen Aufwand von 21 Stunden sowie Auslagen von Fr. 166.30 geltend und beantragte die Ausrichtung einer Entschädigung von Fr. 5'628.00 (inkl. Auslagen und MwSt). Der geltend gemachte Aufwand von 21 Stunden für "Aktenstudium, Instruk- tion und Beschwerdeantwort" wurde nicht weiter spezifiziert, erscheint je- doch hoch, auch wenn der Beschuldigte in früheren Verfahren durch an- dere Rechtsanwälte verteidigt war und entsprechend vorliegend nicht von vorbestehenden Aktenkenntnissen ausgegangen werden kann. Für das Verfassen der 11-seitigen Beschwerdeantwort (ohne Rubrum und letzte Seite) erscheint ein Aufwand von 12 Stunden angemessen (inkl. Aktenstu- dium und Kontakt mit dem Klienten). Bei einem Regelstundenansatz von Fr. 240.00 (§ 9 Abs. 2bis AnwT), einer pauschalen Auslagenentschädigung von praxisgemäss 3 % (§ 13 Abs. 1 Satz 2 AnwT), ausmachend Fr. 86.40, sowie 8.1 % MwSt, ausmachend Fr. 240.30, ist dem Verteidiger eine Entschädigung von Fr. 3'206.70 aus- zurichten.</w:t>
      </w:r>
    </w:p>
    <w:p>
      <w:r>
        <w:t>- 8 - Die Beschwerdekammer entscheidet: 1. Auf die Beschwerde wird nicht eingetreten. 2. Die Kosten des Beschwerdeverfahrens, bestehend aus einer Gerichtsge- bühr von Fr. 1'000.00 sowie den Auslagen von Fr. 100.00, zusammen Fr. 1'100.00, werden den Beschwerdeführern in solidarischer Haftbarkeit auferlegt und mit der von ihnen geleisteten Sicherheit von Fr. 1'000.00 ver- rechnet, so dass sie noch Fr. 100.00 zu bezahlen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