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SBK.2025.211 vom 6. November 2025</w:t>
      </w:r>
    </w:p>
    <w:p>
      <w:r>
        <w:t>Ag Strafgericht, 2025-11-06, DE</w:t>
      </w:r>
    </w:p>
    <w:p>
      <w:r>
        <w:rPr>
          <w:b/>
        </w:rPr>
        <w:t xml:space="preserve">Quelle: </w:t>
      </w:r>
      <w:r>
        <w:t>https://mcp.opencaselaw.ch/entscheid/ag_strafgericht_SBK.2025.211</w:t>
      </w:r>
    </w:p>
    <w:p>
      <w:r>
        <w:t>FR: AG_STRAFGERICHT SBK.2025.211 du 6 novembre 2025</w:t>
      </w:r>
    </w:p>
    <w:p>
      <w:r>
        <w:t>IT: AG_STRAFGERICHT SBK.2025.211 del 6 novembre 2025</w:t>
      </w:r>
    </w:p>
    <w:p>
      <w:pPr>
        <w:pStyle w:val="Heading2"/>
      </w:pPr>
      <w:r>
        <w:t>Erwägungen</w:t>
      </w:r>
    </w:p>
    <w:p>
      <w:r>
        <w:rPr>
          <w:b/>
        </w:rPr>
        <w:t>E. 1.1</w:t>
      </w:r>
    </w:p>
    <w:p>
      <w:r>
        <w:t>Eine Nichtanhandnahmeverfügung kann von den Parteien innert 10 Tagen mit Beschwerde angefochten werden (Art. 310 Abs. 2 StPO i.V.m. Art. 322 Abs. 2 StPO und Art. 393 Abs. 1 lit. a StPO).</w:t>
      </w:r>
    </w:p>
    <w:p>
      <w:r>
        <w:t>- 3 -</w:t>
      </w:r>
    </w:p>
    <w:p>
      <w:r>
        <w:rPr>
          <w:b/>
        </w:rPr>
        <w:t>E. 1.2</w:t>
      </w:r>
    </w:p>
    <w:p>
      <w:r>
        <w:t>Jede Partei, die ein rechtlich geschütztes Interesse an der Aufhebung oder Änderung eines Entscheids hat, kann ein Rechtsmittel ergreifen (vgl. Art. 382 Abs. 1 StPO). Partei ist u.a. die Privatklägerschaft (Art. 104 Abs. 1 lit. b StPO), wobei als Privatklägerschaft die geschädigte Person gilt,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Abschluss des Vorver- 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Rechten unmittelbar verletzt worden ist (Art. 115 Abs. 1 StPO). Geschädigte, die sich nicht als Privatkläger konstituiert haben, können ei- ne Nichtanhandnahme- oder Einstellungsverfügung mangels Parteistellung grundsätzlich nicht anfechten. Diese Einschränkung gilt dann nicht, wenn die geschädigte Person noch keine Gelegenheit hatte, sich zur Frage der Konstituierung zu äussern, so etwa wenn eine Nichtanhandnahme oder Einstellung ergeht, ohne dass die Strafverfolgungsbehörde die geschädigte Person zuvor auf ihr Konstituierungsrecht aufmerksam gemacht hat. Die Hinweispflicht nach Art. 118 Abs. 4 StPO trifft die Staatsanwaltschaft. Ent- sprechend kommt sie regelmässig erst mit Eröffnung der Untersuchung nach Art. 309 StPO zum Tragen (vgl. Urteil des Bundesgerichts 7B_50/2024 vom 21. März 2024 E. 3.1 m.w.H; VIKTOR LIEBER, in: Kommen- tar zur Schweizerischen Strafprozessordnung, 3. Aufl. 2020, N. 14 zu Art. 118 StPO). Den Akten ist nicht zu entnehmen, dass der Beschwerdeführer bislang auf die Möglichkeit einer Konstituierung als Privatkläger hingewiesen worden ist, womit er zur Beschwerde zuzulassen ist. Im Übrigen kann die Erhebung der Beschwerde nur dahingehend verstanden werden, dass sich der Be- schwerdeführer i.S.v. Art. 118 Abs. 1 StPO am Strafverfahren beteiligen will (vgl. Urteil des Bundesgerichts 6B_33/2019 vom 22. Mai 2019 E. 3; vgl. LIEBER, a.a.O., N. 8 zu Art. 118 StPO). Der Beschwerdeführer ist damit legitimiert, die Nichtanhandnahmeverfügung anzufechten.</w:t>
      </w:r>
    </w:p>
    <w:p>
      <w:r>
        <w:rPr>
          <w:b/>
        </w:rPr>
        <w:t>E. 1.3</w:t>
      </w:r>
    </w:p>
    <w:p>
      <w:r>
        <w:t>Die weiteren Eintretensvoraussetzungen sind erfüllt und geben zu keinen Bemerkungen Anlass. Auf die frist- und formgerechte Beschwerde (vgl. Art. 396 Abs. 1 i.V.m. Art. 385 Abs. 1 StPO) ist daher einzutreten.</w:t>
      </w:r>
    </w:p>
    <w:p>
      <w:r>
        <w:t>- 4 -</w:t>
      </w:r>
    </w:p>
    <w:p>
      <w:r>
        <w:rPr>
          <w:b/>
        </w:rPr>
        <w:t>E. 2.1</w:t>
      </w:r>
    </w:p>
    <w:p>
      <w:r>
        <w:t>Die Staatsanwaltschaft Zofingen-Kulm erwog, dem Beschuldigten könne keine strafbare Handlung vorgeworfen werden. Es sei keine für eine Verur- teilung wegen Betrugs erforderliche Raffinesse oder Durchtriebenheit er- sichtlich. Schliesslich sei auch nicht nachweisbar, dass der Beschuldigte in subjektiver Hinsicht den Vorsatz gehabt habe, den Beschwerdeführer über den Zustand des Fahrzeugs arglistig in die Irre zu führen oder sich mit dem Verkauf unrechtmässig zu bereichern. Die Beurteilung darüber, ob die Re- paraturen fachmännisch vorgenommen worden seien, obliege nicht den Strafverfolgungsbehörden. Eine allfällige Vertragsverletzung sei zivilrecht- lich zu prüfen.</w:t>
      </w:r>
    </w:p>
    <w:p>
      <w:r>
        <w:rPr>
          <w:b/>
        </w:rPr>
        <w:t>E. 2.2</w:t>
      </w:r>
    </w:p>
    <w:p>
      <w:r>
        <w:t>Der Beschwerdeführer machte beschwerdeweise geltend, der Beschul- digte habe zugegeben, dass das Fahrzeug ein Geräusch mache. Dies be- deute Betrug. Der Beschuldigte habe ihn vor dem Kauf nicht darüber infor- miert. Er habe das Fahrzeug nicht gekauft, um es zurückzugeben. Der Be- schuldigte habe einige Reparaturen gemacht, aber das Hauptproblem mit dem Geräusch nicht gelöst. Die E._____ habe sein Fahrzeug kontrolliert und ihn informiert, dass der Beschuldigte keine Original-Frontscheibe er- setzt habe. Er habe dafür Fr. 371.85 bezahlt. Der Beschuldigte habe ihn nicht die Frontscheibe bei der E._____ wechseln lassen, sondern habe die Reparatur selbst machen wollen. Das Problem mit dem Geräusch mindere den Preis des Fahrzeugs; er werde es in Zukunft nicht mehr verkaufen kön- nen.</w:t>
      </w:r>
    </w:p>
    <w:p>
      <w:r>
        <w:rPr>
          <w:b/>
        </w:rPr>
        <w:t>E. 3</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Ein hinreichender Tatverdacht setzt voraus, dass die erfor- derlichen Hinweise auf eine strafbare Handlung konkreter Natur sind. Kon- kret ist der Tatverdacht dann, wenn eine gewisse Wahrscheinlichkeit für eine strafrechtliche Verurteilung der beschuldigten Person spricht. Die Ge- samtheit der tatsächlichen Hinweise muss die plausible Prognose zulas- sen, dass die beschuldigte Person mit einiger Wahrscheinlichkeit verurteilt werden wird. Diese Prognose geht über die allgemeine theoretische Mög- lichkeit hinaus. Ein blosser Anfangsverdacht, d.h. eine geringe Wahr- scheinlichkeit einer Verurteilung aufgrund vager tatsächlicher Anhalts- punkte (z.B. ungenaue Schilderungen eines Anzeigeerstatters), löst zwar eine Strafverfolgungspflicht aus, genügt für die Eröffnung einer Untersu- chung aber nicht (NATHAN LANDSHUT/THOMAS BOSSHARD, in: Kommentar</w:t>
      </w:r>
    </w:p>
    <w:p>
      <w:r>
        <w:t>- 5 -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4.2</w:t>
      </w:r>
    </w:p>
    <w:p>
      <w:r>
        <w:t>Die Strafanzeige des Beschwerdeführers steht offensichtlich im Zusam- menhang mit dem zwischen ihm und dem Beschuldigten abgeschlossenen Kaufvertrag über das Fahrzeug D. Der Beschuldigte verkaufte dieses dem Beschwerdeführer am 12. September 2024 für Fr. 26'000.00 (vgl. Quittung der C._____ GmbH vom 12. September 2024; Beilage zur Strafanzeige) mit einer Garantie von 12 Monaten (oder 30'000 km). Aufgrund von Rekla- mationen des Beschwerdeführers wegen Mängeln (u.a. Windgeräusche) wurden entsprechend der Garantievereinbarung Arbeiten (u.a. Auswechs- lung von Schwungrad und der Windschutzscheibe) durch den Beschuldig- ten ausgeführt. Der Beschwerdeführer macht geltend, es liege ein Betrug vor, wenn der Beschuldigte den Mangel (Geräusch) zugebe. Damit irrt er. Es bestehen keine Anhaltspunkte dafür, dass der Beschuldigte mit dem Anerkennen eines vorhandenen Geräusches sowie den deshalb durchge- führten Reparaturen ein anderes Ziel verfolgt haben könnte als das Han- deln entsprechend der abgeschlossenen Garantievereinbarung. Es liegen keine Hinweise vor, dass sich der Beschuldigte besonderer</w:t>
      </w:r>
    </w:p>
    <w:p>
      <w:r>
        <w:t>- 6 - Machenschaften oder Kniffe bedient hätte, um die Möglichkeit eines bereits beim Verkauf bestehenden Problems mit der Windschutzscheibe zu ver- schleiern oder zu verbergen. Vielmehr verkaufte er das Fahrzeug ab am 31. Juli 2024 erfolgreich bestandener Motorfahrzeugkontrolle (vgl. durch den Beschuldigten am 11. Juli 2025 eingereichten Prüfbescheid des Stras- senverkehrsamts vom 31. Juli 2024 sowie Einvernahmeprotokoll des Be- schuldigten vom 11. Juli 2025, Frage 1). Es ist zudem auch nicht ersicht- lich, dass der Beschuldigte mit den Reparaturen sachfremde Ziele oder eine Schädigung des Beschwerdeführers bezweckt haben könnte (vgl. dazu Einvernahmeprotokoll des Beschuldigten vom 11. Juli 2025, Frage 28, wonach die Versicherung der beste Kunde sei bzw. man von denen das Geld relativ schnell bekomme). Daran ändert auch nichts, dass er gemäss Behauptung des Beschwerdeführers die Windschutzscheibe nicht durch ein Originalprodukt ersetzt hat, zumal nicht ersichtlich ist, inwiefern der Be- schuldigte sich oder einen andern dadurch unrechtmässig hätte bereichern können. Anderweitige Anhaltspunkte, die auf ein arglistiges Verhalten des Beschuldigten hinweisen würden, liegen ebenfalls keine vor und werden mit Beschwerde auch nicht begründet. Mithin entfällt das Tatbestandsmerk- mal der Arglist im Sinne von Art. 146 StGB. Die angeblichen Mängel am Fahrzeug bzw. der nachfolgenden Reparatur betreffen vielmehr eindeutig und einzig zivilrechtliche Fragen.</w:t>
      </w:r>
    </w:p>
    <w:p>
      <w:r>
        <w:rPr>
          <w:b/>
        </w:rPr>
        <w:t>E. 4.3</w:t>
      </w:r>
    </w:p>
    <w:p>
      <w:r>
        <w:t>Damit bestehen vorliegend keine Hinweise auf strafbares Verhalten des Beschuldigten. Dass es sich um eine reine Zivilsache handelt, ergibt sich auch daraus, dass der Beschwerdeführer mit der Strafanzeige eine Rück- abwicklung des Vertrags ("Ich möchte, dass er mir mein Geld gibt und sein Auto nimmt") bzw. mit Beschwerde eine ordnungsgemässe Reparatur ("Wenn er das beheben [kann], möchte ich mein Auto gerne behalten") ver- langte. Für die Klärung rein zivilrechtlicher Fragestellungen steht das Straf- verfahren allerdings nicht zur Verfügung. Die Nichtanhandnahme des Ver- fahrens durch die Staatsanwaltschaft Zofingen-Kulm ist damit rechtmässig erfolgt, womit die Beschwerde abzuweisen ist.</w:t>
      </w:r>
    </w:p>
    <w:p>
      <w:r>
        <w:rPr>
          <w:b/>
        </w:rPr>
        <w:t>E. 5</w:t>
      </w:r>
    </w:p>
    <w:p>
      <w:r>
        <w:t>Bei diesem Verfahrensausgang hat der Beschwerdeführer die Kosten des Beschwerdeverfahrens zu tragen (Art. 428 Abs. 1 StPO). Weder dem Be- schwerdeführer noch dem Beschuldigten – dem im vorliegenden Be- schwerdeverfahren kein Aufwand entstanden ist – ist eine Entschädigung zuzusprechen.</w:t>
      </w:r>
    </w:p>
    <w:p>
      <w:r>
        <w:t>- 7 - Die Beschwerdekammer entscheidet: 1. Die Beschwerde wird abgewiesen. 2. Die Kosten des Beschwerdeverfahrens, bestehend aus einer Gerichtsge- bühr von Fr. 1'000.00 und den Auslagen von Fr. 38.00, zusammen Fr. 1'038.00, werden dem Beschwerdeführer auferlegt und in Höhe von Fr. 1'000.00 mit der geleisteten Kostensicherheit verrechnet, so dass er noch Fr. 38.00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6. November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