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SBK.2025.21 vom 2. April 2025</w:t>
      </w:r>
    </w:p>
    <w:p>
      <w:r>
        <w:t>Ag Strafgericht, 2025-04-02, DE</w:t>
      </w:r>
    </w:p>
    <w:p>
      <w:r>
        <w:rPr>
          <w:b/>
        </w:rPr>
        <w:t xml:space="preserve">Quelle: </w:t>
      </w:r>
      <w:r>
        <w:t>https://mcp.opencaselaw.ch/entscheid/ag_strafgericht_SBK.2025.21</w:t>
      </w:r>
    </w:p>
    <w:p>
      <w:r>
        <w:t>FR: AG_STRAFGERICHT SBK.2025.21 du 2 avril 2025</w:t>
      </w:r>
    </w:p>
    <w:p>
      <w:r>
        <w:t>IT: AG_STRAFGERICHT SBK.2025.21 del 2 aprile 2025</w:t>
      </w:r>
    </w:p>
    <w:p>
      <w:pPr>
        <w:pStyle w:val="Heading2"/>
      </w:pPr>
      <w:r>
        <w:t>Erwägungen</w:t>
      </w:r>
    </w:p>
    <w:p>
      <w:r>
        <w:rPr>
          <w:b/>
        </w:rPr>
        <w:t>E. 1.1</w:t>
      </w:r>
    </w:p>
    <w:p>
      <w:r>
        <w:t>Gemäss Art. 382 Abs. 1 StPO kann jede Partei, die ein rechtlich geschütz- tes Interesse an der Aufhebung oder Änderung eines Entscheides hat, ein Rechtsmittel ergreifen. Die Beschwerdebefugnis verlangt demnach eine di- rekte persönliche Betroffenheit der rechtsuchenden Person in den eigenen rechtlich geschützten Interessen. Vorausgesetzt wird ein aktuelles und praktisches Interesse an der Behandlung der Beschwerde. Dieses Erfor- dernis stellt sicher, dass das Gericht konkrete und nicht bloss theoretische Fragen entscheidet. Das Vorliegen eines rein faktischen Interesses oder die blosse Aussicht auf ein künftiges rechtlich geschütztes Interesse genügt nicht. Eine Partei, die durch den Entscheid nicht direkt betroffen ist, ist da- her nicht beschwerdelegitimiert und auf ihre Beschwerde kann nicht einge- treten werden (BGE 144 IV 81 E. 2.3.1 = Pra 107 [2018] Nr. 152).</w:t>
      </w:r>
    </w:p>
    <w:p>
      <w:r>
        <w:rPr>
          <w:b/>
        </w:rPr>
        <w:t>E. 1.2</w:t>
      </w:r>
    </w:p>
    <w:p>
      <w:r>
        <w:t>Die Gesuchstellerin verlangt die Sistierung des Verfahrens, bis über das Ausstandsgesuch entschieden ist. Auf diesen Antrag ist mangels funktio- neller Zuständigkeit der Beschwerdekammer in Strafsachen des Oberge- richts des Kantons Aargau nicht einzutreten. Zuständig für diesen Antrag ist die Verfahrensleitung des vor dem Gerichtspräsidium Q._____ geführ- ten Strafverfahrens ST.2023.31 (vgl. dazu Art. 61 lit. d StPO), wobei der Sistierungsantrag mit dem vorliegenden Entscheid (auch) über das Aus- standsgesuch gegenstandslos geworden ist.</w:t>
      </w:r>
    </w:p>
    <w:p>
      <w:r>
        <w:t>- 4 -</w:t>
      </w:r>
    </w:p>
    <w:p>
      <w:r>
        <w:rPr>
          <w:b/>
        </w:rPr>
        <w:t>E. 1.3</w:t>
      </w:r>
    </w:p>
    <w:p>
      <w:r>
        <w:t>Nicht einzutreten ist weiter auf den Antrag der Gesuchstellerin, es sei fest- zustellen, dass das Amtsgeheimnis und die Grundrechte verletzt worden seien. In der Sache geht es der Gesuchstellerin darum, mit der angeblichen Verletzung des Amtsgeheimnisses den Ausstand des Gerichtspräsidenten zu begründen. Inwiefern sie darüber hinaus, d.h. die Beurteilung ihres Aus- standsgesuch unter diesem Aspekt, zusätzlich noch ein eigenes Feststel- lungsinteresse haben soll, begründet sie mit keinem Wort und ist auch nicht ersichtlich.</w:t>
      </w:r>
    </w:p>
    <w:p>
      <w:r>
        <w:rPr>
          <w:b/>
        </w:rPr>
        <w:t>E. 1.4</w:t>
      </w:r>
    </w:p>
    <w:p>
      <w:r>
        <w:t>Die angefochtene Verfügung vom 21. Januar 2025, mit welcher der aktuelle Strafregisterauszug der Gesuchstellerin der Privatklägerin zugestellt wurde, wurde bereits vollzogen. An deren Aufhebung besteht folglich kein Rechtsschutzinteresse mehr. Dies umso weniger, als selbst eine Aufhe- bung der Verfügung nichts an der Tatsache ändern könnte, dass die Pri- vatklägerin vom Inhalt des Strafregisterauszugs bereits Kenntnis genom- men hat. Die Gesuchstellerin verliert denn auch kein Wort darüber, weshalb sie die Aufhebung der Verfügung beantragt. Mangels jeglicher Beschwer- debegründung und aktuellen Rechtsschutzinteresses ist auf die im Zusam- menhang mit der Verfügung vom 21. Januar 2025 erhobene Beschwerde nicht einzutreten.</w:t>
      </w:r>
    </w:p>
    <w:p>
      <w:r>
        <w:rPr>
          <w:b/>
        </w:rPr>
        <w:t>E. 2.1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die Beschwerdeinstanz, wenn die Staatsanwaltschaft oder die erstinstanzli- chen Gerichte betroffen sind. Das Ausstandsgesuch betrifft ein erstinstanzliches Gericht, womit für des- sen Beurteilung gemäss Art. 59 Abs. 1 lit. b StPO i.V.m. § 13 Abs. 1 EG StPO und § 9 f. sowie Anhang 1 Ziff. 2 Abs. 5 lit. b der Geschäftsord- nung des Obergerichts des Kantons Aargau vom 21. November 2012 (GKA 155.200.3.101) die Beschwerdekammer in Strafsachen des Oberge- richts des Kantons Aargau zuständig ist.</w:t>
      </w:r>
    </w:p>
    <w:p>
      <w:r>
        <w:rPr>
          <w:b/>
        </w:rPr>
        <w:t>E. 2.2.1</w:t>
      </w:r>
    </w:p>
    <w:p>
      <w:r>
        <w:t>Die Gesuchstellerin erblickt darin, dass der Gerichtspräsident der Privat- klägerin einen Auszug aus ihrem Strafregister zugestellt hat, eine Verlet- zung seiner "Schweigepflicht" bzw. des Amtsgeheimnisses, weshalb bei</w:t>
      </w:r>
    </w:p>
    <w:p>
      <w:r>
        <w:t>- 5 - objektiver Betrachtung ein besonders krasses "Verbrechen" vorliege, wel- ches mit einer schweren Amtspflichtverletzung einher gehe. Dies vermöge den Anschein der Befangenheit des Gerichtspräsidenten zu begründen.</w:t>
      </w:r>
    </w:p>
    <w:p>
      <w:r>
        <w:rPr>
          <w:b/>
        </w:rPr>
        <w:t>E. 2.2.2</w:t>
      </w:r>
    </w:p>
    <w:p>
      <w:r>
        <w:t>Der Gerichtspräsident führt in seiner Stellungnahme aus, dass Strafregis- terauszüge, welche im laufenden Verfahren beigezogen würden, nicht zu den besonders schützenswerten Interessen einer Beschuldigten gehörten, weshalb einem Privatkläger Einsicht gewährt werden dürfe. Ausserdem habe er durch die Zustellung des Strafregisterauszugs kein Geheimnis, welches der Privatklägerin nicht bereits aus anderen Quellen bekannt ge- wesen wäre, kundgetan. Auch sei der Privatklägerin bereits früher Akten- einsicht gewährt worden, so dass sie bereits Einblick in die bis dahin bei- gezogenen Strafregisterauszügen gehabt habe. Der Privatklägerin seien keine Informationen, über welche sie nicht bereits verfügte habe, zugäng- lich gemacht worden.</w:t>
      </w:r>
    </w:p>
    <w:p>
      <w:r>
        <w:rPr>
          <w:b/>
        </w:rPr>
        <w:t>E. 2.2.3</w:t>
      </w:r>
    </w:p>
    <w:p>
      <w:r>
        <w:t>Mit Stellungnahme vom 27. Februar 2025 hält die Gesuchstellerin daran fest, dass es sich beim Strafregister um besonders schützenswerte Inte- ressen "eines Beschuldigten" handle. Sodann bringt sie im Wesentlichen vor, dem Gerichtspräsidenten sei kein Akteneinsichtsgesuch vorgelegen, welches ihm, hätte er der Gesuchstellerin vorgängig das rechtliche Gehör gewährt, erlaubt hätte, einer Partei Einsicht in die Akten zu gewähren. Mit der Abfrage des Strafregister-Informationssystems VOSTRA vom 21. Ja- nuar 2025 habe der Gerichtspräsident von ihren persönlichen Daten Kennt- nis erlangt und diese der Geheimhaltung unterliegenden Informationen Drittpersonen mitgeteilt. Damit hätten er und F._____, Sachbearbeiterin, den Tatbestand der Amtsgeheimnisverletzung (Art. 320 StGB) klar erfüllt. Des Weiteren habe der Gerichtspräsident das Online-Abfragerecht für das Strafregister-Informationssystem VOSTRA wiederholt vorsätzlich für nicht gesetzeskonforme Zwecke genutzt und die persönlichen Daten der Ge- suchstellerin weitergegeben. Dieses Vorgehen lasse auf eine persönliche Abneigung schliessen.</w:t>
      </w:r>
    </w:p>
    <w:p>
      <w:r>
        <w:rPr>
          <w:b/>
        </w:rPr>
        <w:t>E. 2.3.1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 Bei der Auslegung der Ausstandsregeln der StPO ist der Rechtsprechung zu Art. 30 Abs. 1 BV Rechnung zu tragen (MARKUS BOOG, in: Basler</w:t>
      </w:r>
    </w:p>
    <w:p>
      <w:r>
        <w:t>- 6 - Kommentar, Schweizerische Strafprozessordnung, 3. Aufl. 2023, N. 1 der Vorbemerkungen zu Art. 56–60 StPO). Art. 56 lit. f StPO entspricht Art. 30 Abs. 1 BV und Art. 6 Ziff. 1 EMRK. Danach hat jede Person Anspruch da- rauf, dass ihre Sache von einem unparteiischen, unvoreingenommenen und unbefangenen Richter ohne Einwirken sachfremder Umstände ent- schieden wird. Die Rechtsprechung nimmt Voreingenommenheit und Be- fangenheit an, wenn Umstände vorliegen, die geeignet sind, Misstrauen in die Unparteilichkeit des Richters zu erwecken. Dabei ist nicht auf das sub- jektive Empfinden einer Partei abzustellen. Das Misstrauen in die Unvor- eingenommenheit muss vielmehr in objektiver Weise begründet erschei- nen. Es genügt, wenn Umstände vorliegen, die bei objektiver Betrachtung den Anschein der Befangenheit und Voreingenommenheit erwecken. Für die Ablehnung ist nicht erforderlich, dass der Richter tatsächlich befangen ist (BGE 148 IV 137 E. 2.2). Der Anspruch auf ein unabhängiges und unparteiisches Gericht gemäss Art. 30 Abs. 1 BV und Art. 6 Ziff. 1 EMRK umfasst nicht auch die Garantie jederzeit fehlerfrei arbeitender Gerichtspersonen. Prozessuale Rechtsfeh- ler sind im Rechtsmittelverfahren zu rügen und lassen sich grundsätzlich nicht als Begründung für eine Verletzung der Garantie des verfassungs- mässigen Gerichts heranziehen. Richterliche Verfahrensfehler können nur ausnahmsweise die Unbefangenheit einer Gerichtsperson infrage stellen. Wird der Ausstandsgrund nach Art. 56 lit. f StPO aus materiellen oder pro- 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 den Anschein der Befangenheit (Urteil des Bundesgerichts 1B_507/2022 vom 22. Februar 2023 E. 3.3).</w:t>
      </w:r>
    </w:p>
    <w:p>
      <w:r>
        <w:rPr>
          <w:b/>
        </w:rPr>
        <w:t>E. 2.3.2</w:t>
      </w:r>
    </w:p>
    <w:p>
      <w:r>
        <w:t>Gemäss Art. 195 Abs. 2 StPO holen Staatsanwaltschaften und Gerichte zur Abklärung der persönlichen Verhältnisse der beschuldigten Person Auskünfte über Vorstrafen und den Leumund sowie weitere sachdienliche Berichte von Amtsstellen und Privaten ein. Indem der Gerichtspräsident vor der Hauptverhandlung vom 27. Ja- nuar 2025 einen aktuellen Strafregisterauszug der Gesuchstellerin einge- holt hat, ist er der Verpflichtung von Art. 195 Abs. 2 StPO nachgekommen. Dass er darüber hinaus das Strafregister-Informationssystem VOSTRA "für nicht gesetzeskonforme Zwecke" genutzt haben soll, ist eine Unterstellung der Gesuchstellerin, welche jeglicher Begründung entbehrt, somit haltlos ist. Ferner trifft nicht zu, dass der Gerichtspräsident den Strafregisteraus- zug (etwelchen) "Drittpersonen" mitgeteilt hat, sondern handelte es sich hierbei um die Privatklägerin, somit einer Partei des Strafverfahrens, wel- che gestützt auf Art. 107 Abs. 1 lit. a StPO das Recht auf Akteneinsicht hat.</w:t>
      </w:r>
    </w:p>
    <w:p>
      <w:r>
        <w:t>- 7 -</w:t>
      </w:r>
    </w:p>
    <w:p>
      <w:r>
        <w:rPr>
          <w:b/>
        </w:rPr>
        <w:t>E. 2.3.3.1</w:t>
      </w:r>
    </w:p>
    <w:p>
      <w:r>
        <w:t>Wie der Gesuchstellerin gestützt auf den von ihr eingereichten Aufsatz be- kannt ist, ist insofern klar und unbestritten, dass der Privatklägerschaft vor- behältlich von Art. 108 Abs. 1 StPO ein Akteneinsichtsrecht zusteht (Art. 101 Abs. 1 und Art. 107 Abs. 1 lit. a StPO). Nicht von Belang sind deshalb die von der Gesuchstellerin angerufenen Bestimmungen des Da- tenschutzgesetzes. Das Datenschutzgesetz findet ohnehin keine Anwen- dung auf laufende Strafverfahren (vgl. Art. 2 Abs. 3 DSG; DANIELA BRÜSCHWEILER/CHRISTA GRÜNIG, in: Kommentar zur Schweizerischen Strafprozessordnung StPO, 3. Aufl. 2020, N. 1b zu Art. 101 StPO [aller- dings zur alten Bestimmung von aArt. 2 Abs. 2 lit. c DSG]). Auch Art. 12 des Bundesgesetzes über das Strafregister-Informationssystem VOSTRA (SR 330) ist nicht von Belang, weil mit Art. 107 Abs. 1 lit. a StPO die in jenem Gesetz erwähnte "formell-gesetzliche Grundlage" besteht. Im Übri- gen ist in der Lehre umstritten, ob das Akteneinsichtsrecht der Privatklä- gerschaft auf jene Akten, welche sie zur Wahrung ihrer Interessen kennen muss, beschränkt ist oder sich auf die gesamten Akten gemäss Art. 100 StPO bezieht (vgl. dazu MIRIAM HANS/DOROTHE WIPRÄCHTI- GER/MARKUS SCHMUTZ, in: Basler Kommentar, Schweizerische Strafpro- zessordnung, 3. Aufl. 2023, N. 10 f. zu Art. 101 StPO). Mit Blick auf den hier in Frage stehenden Strafregisterauszug ist immerhin festzustellen, dass sich vorliegend die Privatklägerin auch als Strafklägerin am Strafver- fahren beteiligt, so dass ein berechtigtes Einsichtsinteresse am Strafregis- terauszug der Gesuchstellerin jedenfalls nicht abwegig ist (so auch HANS/WIPRÄCHTIGER/SCHMUTZ, a.a.O., N. 10 zu Art. 101 StPO mit weite- rem Hinweis). Wie es sich abschliessend damit verhält, braucht vorliegend nicht geklärt zu werden. Bestehen hinsichtlich des Umfangs des Aktenein- sichtsrechts der Privatklägerschaft unterschiedliche Lehrmeinungen, kann dem Gerichtspräsidenten jedenfalls nicht unterstellt werden, er habe das Amtsgeheimnis verletzt, indem er der Privatklägerin Einsicht in den Straf- registerauszug der Gesuchstellerin ermöglicht hat. Ein solcher Vorwurf setzt in subjektiver Hinsicht Vorsatz voraus, welcher dem Gerichtspräsiden- ten angesichts der unterschiedlichen Lehrmeinungen in dieser Frage mit Sicherheit nicht nachgewiesen werden könnte. Ob die Zustellung des Strafregisterauszugs an die Privatklägerin unbese- hen dessen, dass sie strafrechtlich nicht von Belang ist, einen Verfahrens- fehler darstellt, ist im Ausstandsverfahren nicht zu klären. Gegen beanstan- dete Verfahrenshandlungen sind primär die zur Verfügung stehenden Rechtsmittel auszuschöpfen (BGE 143 IV 69 E. 3.2) und dient das Aus- standsverfahren nicht dazu, prozessuale Rügen bereits vorab prüfen zu lassen, welche die Parteien ohne Weiteres im Rahmen der gerichtlichen Hauptverhandlung (oder nötigenfalls im Rechtsmittelverfahren) erheben können (Urteil des Bundesgerichts 7B_328/2023 vom 2. August 2023 E. 3.2.1). Soweit sich die Gesuchstellerin durch die Zustellung des</w:t>
      </w:r>
    </w:p>
    <w:p>
      <w:r>
        <w:t>- 8 - Strafregisterauszugs an die Privatklägerin in ihren Verfahrensrechten be- nachteiligt sieht, kann sie dies im Haupt- und/oder Rechtsmittelverfahren geltend machen.</w:t>
      </w:r>
    </w:p>
    <w:p>
      <w:r>
        <w:rPr>
          <w:b/>
        </w:rPr>
        <w:t>E. 2.3.3.2</w:t>
      </w:r>
    </w:p>
    <w:p>
      <w:r>
        <w:t>Zutreffend ist, dass die Akteneinsicht grundsätzlich ein entsprechendes Gesuch voraussetzt (vgl. Art. 102 StPO), was allerdings bedingt, dass die beteiligten Parteien über den Beizug neuer, entscheidwesentlicher Akten, welche sie nicht kennen und nicht kennen können, informiert werden (HANS VEST, in: Basler Kommentar, Schweizerische Strafprozessordnung,</w:t>
      </w:r>
    </w:p>
    <w:p>
      <w:r>
        <w:rPr>
          <w:b/>
        </w:rPr>
        <w:t>E. 3</w:t>
      </w:r>
    </w:p>
    <w:p>
      <w:r>
        <w:t>Die obergerichtlichen Verfahrenskosten, bestehend aus einer Gerichtsge- bühr von Fr. 800.00 sowie den Auslagen von Fr. 99.00, zusammen Fr. 899.00, werden der Gesuchstellerin auferlegt.</w:t>
      </w:r>
    </w:p>
    <w:p>
      <w:r>
        <w:t>- 9 -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2. April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