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SBK.2025.188 vom 4. August 2025</w:t>
      </w:r>
    </w:p>
    <w:p>
      <w:r>
        <w:t>Ag Strafgericht, 2025-08-04, DE</w:t>
      </w:r>
    </w:p>
    <w:p>
      <w:r>
        <w:rPr>
          <w:b/>
        </w:rPr>
        <w:t xml:space="preserve">Quelle: </w:t>
      </w:r>
      <w:r>
        <w:t>https://mcp.opencaselaw.ch/entscheid/ag_strafgericht_SBK.2025.188</w:t>
      </w:r>
    </w:p>
    <w:p>
      <w:r>
        <w:t>FR: AG_STRAFGERICHT SBK.2025.188 du 4 août 2025</w:t>
      </w:r>
    </w:p>
    <w:p>
      <w:r>
        <w:t>IT: AG_STRAFGERICHT SBK.2025.188 del 4 agosto 2025</w:t>
      </w:r>
    </w:p>
    <w:p>
      <w:pPr>
        <w:pStyle w:val="Heading2"/>
      </w:pPr>
      <w:r>
        <w:t>Erwägungen</w:t>
      </w:r>
    </w:p>
    <w:p>
      <w:r>
        <w:rPr>
          <w:b/>
        </w:rPr>
        <w:t>E. 1.1</w:t>
      </w:r>
    </w:p>
    <w:p>
      <w:r>
        <w:t>Der Beschwerdeführer führt in seiner Beschwerde aus, er sei über den Strafbefehl vom 27. Mai 2024 nicht korrekt informiert worden. Er habe da- von keine Kenntnis gehabt und habe die Postsendung nicht rechtzeitig ab- holen können, was nicht in seinem Einflussbereich gelegen habe. Er bean- trage die Wiederherstellung der Einsprachefrist gemäss Art. 94 StPO.</w:t>
      </w:r>
    </w:p>
    <w:p>
      <w:r>
        <w:rPr>
          <w:b/>
        </w:rPr>
        <w:t>E. 1.2</w:t>
      </w:r>
    </w:p>
    <w:p>
      <w:r>
        <w:t>Hat eine Partei eine Frist versäumt und würde ihr daraus ein erheblicher und unersetzlicher Rechtsverlust erwachsen, so kann sie die Wiederher- stellung der Frist verlangen; dabei hat sie glaubhaft zu machen, dass sie an der Säumnis kein Verschulden trifft (Art. 94 Abs. 1 StPO). Das Gesuch ist innert 30 Tagen nach Wegfall des Säumnisgrundes schriftlich und be- gründet bei der Behörde zu stellen, bei welcher die versäumte Verfahrens- handlung hätte vorgenommen werden sollen. Innert der gleichen Frist muss die versäumte Verfahrenshandlung nachgeholt werden (Art. 94 Abs. 2 StPO).</w:t>
      </w:r>
    </w:p>
    <w:p>
      <w:r>
        <w:rPr>
          <w:b/>
        </w:rPr>
        <w:t>E. 1.3</w:t>
      </w:r>
    </w:p>
    <w:p>
      <w:r>
        <w:t>In der Verfügung vom 13. Februar 2025 wird lediglich festgehalten, dass die Einsprache des Beschwerdeführers vom 2. August 2024 verspätet ge- wesen sei. Dass dies der Fall war, wird vom Beschwerdeführer nicht be- stritten. Ob die Verspätung verschuldet oder unverschuldet im Sinne von Art. 94 StPO war, war hingegen nicht Gegenstand der Verfügung vom 13. Februar 2025 und wurde somit noch nicht beurteilt. Die Eingabe des Beschwerdeführers ist folglich zuständigkeitshalber an die Staatsanwalt- schaft Baden zur Beurteilung des Gesuchs um Wiederherstellung der Ein- sprachefrist weiterzuleiten (vgl. Urteil des Bundesgerichts 6B_252/2019 vom 20. August 2019 E. 5; Beschluss des Obergerichts des Kantons Bern BK 25 51 vom 14. Februar 2025 E. 4).</w:t>
      </w:r>
    </w:p>
    <w:p>
      <w:r>
        <w:rPr>
          <w:b/>
        </w:rPr>
        <w:t>E. 2</w:t>
      </w:r>
    </w:p>
    <w:p>
      <w:r>
        <w:t>Das Beschwerdeverfahren wird mit der Überweisung an die Staatsanwalt- schaft Baden gegenstandslos und ist von der Geschäftskontrolle abzu- schreiben. Ebenfalls gegenstandslos geworden ist damit das Gesuch um Beiordnung eines unentgeltlichen Verteidigers.</w:t>
      </w:r>
    </w:p>
    <w:p>
      <w:r>
        <w:rPr>
          <w:b/>
        </w:rPr>
        <w:t>E. 3</w:t>
      </w:r>
    </w:p>
    <w:p>
      <w:r>
        <w:t>Es werden keine Verfahrenskosten erhoben.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- 5 - Aarau, 4. August 2025 Obergericht des Kantons Aargau Beschwerdekammer in Strafsachen Der Präsident: Die Gerichtsschreiberin: Richli Kabus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