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SBK.2025.154 vom 25. August 2025</w:t>
      </w:r>
    </w:p>
    <w:p>
      <w:r>
        <w:t>Ag Strafgericht, 2025-08-25, DE</w:t>
      </w:r>
    </w:p>
    <w:p>
      <w:r>
        <w:rPr>
          <w:b/>
        </w:rPr>
        <w:t xml:space="preserve">Quelle: </w:t>
      </w:r>
      <w:r>
        <w:t>https://mcp.opencaselaw.ch/entscheid/ag_strafgericht_SBK.2025.154</w:t>
      </w:r>
    </w:p>
    <w:p>
      <w:r>
        <w:t>FR: AG_STRAFGERICHT SBK.2025.154 du 25 août 2025</w:t>
      </w:r>
    </w:p>
    <w:p>
      <w:r>
        <w:t>IT: AG_STRAFGERICHT SBK.2025.154 del 25 agosto 2025</w:t>
      </w:r>
    </w:p>
    <w:p>
      <w:pPr>
        <w:pStyle w:val="Heading2"/>
      </w:pPr>
      <w:r>
        <w:t>Erwägungen</w:t>
      </w:r>
    </w:p>
    <w:p>
      <w:r>
        <w:rPr>
          <w:b/>
        </w:rPr>
        <w:t>E. 1.1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Ausstandsge- such einer Partei, das sich auf Art. 56 lit. b-e StPO abstützt, entscheidet die nach Art. 59 Abs. 1 lit. a-d StPO zuständige Behörde.</w:t>
      </w:r>
    </w:p>
    <w:p>
      <w:r>
        <w:rPr>
          <w:b/>
        </w:rPr>
        <w:t>E. 1.2</w:t>
      </w:r>
    </w:p>
    <w:p>
      <w:r>
        <w:t>Das Ausstandsgesuch stützt sich auf Art. 56 lit. f StPO und betrifft ein erst- instanzliches Gericht, womit für die Beurteilung des Gesuchs gemäss Art. 59 Abs. 1 lit. b StPO i.V.m. § 13 Abs. 1 EG StPO und § 10 sowie An- hang 1 Ziff. 2 Abs. 5 lit. b der Geschäftsordnung des Obergerichts des Kan- tons Aargau vom 21. November 2012 (GKA.155.200.3.101) die Beschwer- dekammer in Strafsachen des Obergerichts zuständig ist.</w:t>
      </w:r>
    </w:p>
    <w:p>
      <w:r>
        <w:rPr>
          <w:b/>
        </w:rPr>
        <w:t>E. 1.3</w:t>
      </w:r>
    </w:p>
    <w:p>
      <w:r>
        <w:t>Pauschale Ausstandsgesuche gegen eine Behörde als Ganzes sind grund- sätzlich nicht zulässig. Ausstandsgesuche haben sich auf einzelne Mitglie- der der Behörde zu beziehen und die gesuchstellende Person hat eine per- sönliche Befangenheit der betreffenden Personen aufgrund von Tatsachen konkret glaubhaft zu machen (Art. 58 Abs. 1 StPO). Das Gesetz spricht denn auch (ausschliesslich und konsequent) von Ausstandsgesuchen</w:t>
      </w:r>
    </w:p>
    <w:p>
      <w:r>
        <w:t>- 4 - gegenüber "einer in einer Strafbehörde tätigen Person" (vgl. Art. 56– 60 StPO). Ein formal gegen eine Gesamtbehörde gerichtetes Ersuchen kann jedoch unter Umständen als Ausstandsbegehren gegen alle Einzel- mitglieder der Behörde entgegengenommen werden. Voraussetzung ist, dass aufgezeigt wird, weshalb jedes Mitglied der Behörde einzeln im kon- kreten Fall befangen sein soll (Urteil des Bundesgerichts 7B_167/2022 vom 13. November 2023 E. 3 mit Hinweisen). Der Gesuchsteller richtet sein Ausstandsgesuch zwar ausdrücklich gegen das Bezirksgericht Brugg als Gesamtbehörde, geht gestützt auf dessen Begründung aber konkret von einer Befangenheit der an der Hauptverhandlung vom 20. Mai 2025 betei- ligten Richterpersonen (Gerichtspräsidentin Susanne Humbel, Bezirksrich- terinnen Judith Bolliger, Tonja Burri und Elena Wilhelm, Bezirksrichter Marco Leber) sowie des Gerichtsschreibers Patrick Gerster aus. Sein Ge- such ist daher als Ausstandsgesuch gegen die genannten Personen ent- gegenzunehmen.</w:t>
      </w:r>
    </w:p>
    <w:p>
      <w:r>
        <w:rPr>
          <w:b/>
        </w:rPr>
        <w:t>E. 2.1</w:t>
      </w:r>
    </w:p>
    <w:p>
      <w:r>
        <w:t>Zu befinden ist über den einzig in Betracht fallenden Ausstandsgrund der Befangenheit "aus anderen Gründen" im Sinne der Auffangklausel von Art. 56 lit. f StPO. Danach tritt eine in einer Strafbehörde tätige Person in den Ausstand, wenn sie aus anderen Gründen (als jenen in lit. a-e von Art. 56 StPO genannten), insbesondere wegen Freundschaft oder Feind- schaft mit einer Partei oder deren Rechtsbeistand, befangen sein könnte.</w:t>
      </w:r>
    </w:p>
    <w:p>
      <w:r>
        <w:rPr>
          <w:b/>
        </w:rPr>
        <w:t>E. 2.2</w:t>
      </w:r>
    </w:p>
    <w:p>
      <w:r>
        <w:t>Bei der Auslegung der Ausstandsregeln der StPO ist der Rechtsprechung zu Art. 30 Abs. 1 BV Rechnung zu tragen (BOOG, in: Basler Kommentar, Schweizerische Strafprozessordnung, 3. Aufl. 2023, N. 1 vor Art. 56– 60 StPO). Nach Art. 29 Abs. 1 BV, Art. 6 Ziff. 1 EMRK und Art. 3 Abs. 2 lit. c StPO haben die Parteien Anspruch auf ein gerechtes Verfahren. Ge- mäss Art. 30 Abs. 1 BV, Art. 6 Ziff. 1 EMRK und Art. 14 Abs. 1 UNO-Pakt II (SR 0.103.2) hat jede Person Anspruch darauf, dass ihre Sache von ei- nem durch Gesetz geschaffenen, zuständigen, unabhängigen und unpar- teiischen Gericht ohne Einwirken sachfremder Umstände entschieden wird. Dieser Anspruch ist verletzt, wenn bei einer Gerichtsperson – objektiv be- trachtet – Gegebenheiten vorliegen, die den Anschein der Befangenheit und die Gefahr der Voreingenommenheit zu begründen vermögen. Solche Umstände können entweder in einem bestimmten Verhalten der betreffen- den Person oder in äusseren Gegebenheiten funktioneller und organisato- rischer Natur begründet sein. Für den Ausstand wird nicht verlangt, dass der Richter tatsächlich befangen ist. Es genügt, wenn Umstände vorliegen, die bei objektiver Betrachtung den Anschein der Befangenheit und Vorein- genommenheit erwecken. Mit anderen Worten muss gewährleistet sein, dass der Prozess aus Sicht aller Beteiligten als offen erscheint (BGE 140 I 326 E. 5.1 mit Hinweisen; BGE 144 I 234 E. 5.2). Auf das</w:t>
      </w:r>
    </w:p>
    <w:p>
      <w:r>
        <w:t>- 5 - subjektive Empfinden einer Partei ist nicht abzustellen (BGE 144 I 234 E. 5.2 mit Hinweisen).</w:t>
      </w:r>
    </w:p>
    <w:p>
      <w:r>
        <w:rPr>
          <w:b/>
        </w:rPr>
        <w:t>E. 3.1.1</w:t>
      </w:r>
    </w:p>
    <w:p>
      <w:r>
        <w:t>Der Gesuchsteller macht zunächst geltend, die Staatsanwaltschaft Brugg- Zurzach stütze sich als zentrales Beweismittel primär auf Aussagen, wel- che er im Rahmen von Einvernahmen gemacht haben soll. Diese Einver- nahmen seien jedoch aufgrund gravierender verfahrensrechtlicher Mängel absolut unverwertbar und daher aus den Akten zu entfernen. Die Frage der Verwertbarkeit solcher Beweise bilde eine Vorfrage im Sinne von Art. 339 Abs. 2 lit. d StPO, über welche das Gericht anlässlich der Hauptverhand- lung vom 20. Mai 2025 hätte entscheiden müssen. Stattdessen habe das Gericht erklärt, erst im Endentscheid über die Verwertbarkeit zu befinden (act. 97 ff.; Stellungnahme des Gesuchstellers vom 21. Juli 2025, Rz. 1 f.). Im Vorfragenplädoyer sei ausführlich dargelegt worden, dass sämtliche Einvernahmen und die daraus gewonnenen Folgebeweise offensichtlich unverwertbar seien und sich die Tatvorwürfe ausschliesslich darauf stütz- ten. Es sei klar aufgezeigt worden, dass der Gesuchsteller ein erhebliches Interesse an einem sofortigen Entscheid gehabt habe. Indem das Gericht dennoch nicht sofort entschieden habe, habe es faktisch bereits einen Vor- entscheid gefällt, indem es mutmasslich unverwertbare Beweise in den Ak- ten belassen und beabsichtigt habe, auf dieser Grundlage einen Sachent- scheid zu fällen. Dieses Vorgehen stelle eine unzulässige antizipierte Be- weiswürdigung dar und erwecke den Anschein der Befangenheit, da die offensichtliche Unverwertbarkeit geeignet sei, wesentliche Anklagepunkte erheblich in Frage zu stellen. Damit werde der Anspruch des Gesuchstel- lers auf ein unabhängiges und unparteiisches Gericht verletzt (act. 106 f.; Stellungnahme des Gesuchstellers vom 21. Juli 2025, Rz. 4 f.).</w:t>
      </w:r>
    </w:p>
    <w:p>
      <w:r>
        <w:rPr>
          <w:b/>
        </w:rPr>
        <w:t>E. 3.1.2</w:t>
      </w:r>
    </w:p>
    <w:p>
      <w:r>
        <w:t>Die vom Gesuchsteller erhobene Rüge, das Bezirksgericht Brugg hätte an- lässlich der Hauptverhandlung unverzüglich über die Verwertbarkeit be- stimmter Einvernahmen entscheiden müssen, verfängt nicht. Zwar trifft es zu, dass Vorfragen gemäss Art. 339 Abs. 2 lit. d StPO auch Akten und er- hobene Beweise betreffen können. Nach bundesgerichtlicher Rechtspre- chung stellt die Verwertbarkeit von Beweismitteln jedoch keine zwingend vorwegzunehmende Vorfrage dar. Vielmehr ist es zulässig, dass das Ge- richt sich erst im Rahmen des Endentscheids definitiv mit der Frage der Verwertbarkeit auseinandersetzt (BGE 143 IV 475 E. 2.7 mit weiteren Hin- weisen). Dies gilt insbesondere, wenn – wie im vorliegenden Fall – keine gesetzlich vorgeschriebene sofortige Vernichtung oder Rückgabe der Be- weismittel vorgesehen ist (vgl. etwa Art. 248, Art. 271 Abs. 3, Art. 277 oder Art. 289 Abs. 6 StPO). Strittig ist in erster Linie, ob die Staatsanwaltschaft Brugg-Zurzach gestützt auf die ersten Ermittlungen von einem schweren</w:t>
      </w:r>
    </w:p>
    <w:p>
      <w:r>
        <w:t>- 6 - Fall i.S.v. Art. 19 Abs. 2 lit. a und b BetmG (wegen der Menge bzw. der bandenmässigen Begehung) hätte ausgehen und dem Beschwerdeführer daher bereits bei seiner ersten Einvernahme eine notwendige Verteidigung gemäss Art. 130 lit. b StPO hätte bestellen müssen. Umstritten ist zudem, ob die notwendige Verteidigung in den nachfolgenden Einvernahmen durch eine Rechtspraktikantin hinreichend gewährleistet war. Angesichts dieser Fragestellungen erscheint die Unverwertbarkeit der Einvernahmen nicht of- fensichtlich, weshalb das Bezirksgericht Brugg nicht gehalten war, diese ohne Weiteres vorfrageweise festzustellen. Nachdem es dem Gesuchstel- ler unbenommen ist, allfällige Einwände gegen die Verwertbarkeit der be- treffenden Einvernahmen und Folgebeweise im weiteren Verfahren geltend zu machen und gegebenenfalls den Rechtsmittelweg zu beschreiten, hat er auch kein besonders gewichtiges Rechtsschutzinteresse an einer sofor- tigen Entscheidung über die Verwertbarkeit. Das Bundesgericht hat denn auch festgehalten, dass die vorläufige Belassung eines umstrittenen Be- weismittels in den Akten grundsätzlich keinen nicht wieder gutzumachen- den Nachteil i.S.v. Art. 93 Abs. 1 lit. a BGG darstellt, weil der Einwand der Unverwertbarkeit bis zum Verfahrensschluss erhoben und gerichtlich über- prüft werden kann (Urteil des Bundesgerichts 1B_156/2019 vom 26. April 2019 E. 2.1). Das Vorgehen des Bezirksgerichts Brugg erweist sich daher als rechtens. Insbesondere ist darin keine antizipierte Beweiswürdigung zu erblicken, zumal das Gericht die Verwertbarkeit der entsprechenden Be- weise und Folgebeweise nicht bereits bejaht hat. Strafrichterinnen und Strafrichter sind verpflichtet, im Endentscheid sowohl die Verwertbarkeit als auch die Beweiskraft der vorhandenen Beweise zu beurteilen und zu be- gründen. Es kann von ihnen erwartet werden, unzulässige von zulässigen Beweismitteln zu unterscheiden und nur Letztere in die Beweiswürdigung miteinzubeziehen (BGE 148 IV 137 E. 5.7 mit Hinweis auf BGE 143 IV 475 E. 2.7 mit Hinweisen; vgl. auch Urteil des Bundesgerichts 7B_91/2024 vom 16. Oktober 2024 E. 4.4 mit Hinweisen). Entsprechend erweckt der Ent- scheid des Bezirksgerichts Brugg, die Frage der Verwertbarkeit der Einver- nahmen des Gesuchstellers im Rahmen des Endentscheids zu behandeln, objektiv keinen Anschein der Befangenheit.</w:t>
      </w:r>
    </w:p>
    <w:p>
      <w:r>
        <w:rPr>
          <w:b/>
        </w:rPr>
        <w:t>E. 3.2.1</w:t>
      </w:r>
    </w:p>
    <w:p>
      <w:r>
        <w:t>Der Gesuchsteller beanstandet weiter, die Staatsanwaltschaft Brugg-Zurz- ach habe einen Tag vor der Hauptverhandlung vom 20. Mai 2025 ihre An- träge geändert und neu den Widerruf der bedingten Freiheitsstrafe von 20 Monaten sowie eine Gesamtstrafe von viereinhalb Jahren beantragt. Aufgrund der kurzfristigen Mitteilung habe er telefonisch Kontakt mit der verfahrensleitenden Gerichtspräsidentin aufgenommen, welche sich eben- falls überrascht gezeigt und erklärt habe, das Vorgehen werde im Rahmen der Hauptverhandlung geprüft. Unter diesen Umständen habe er nicht da- mit rechnen müssen, dass dem Antrag der Staatsanwaltschaft Brugg-Zurz- ach stattgegeben werde. Weiter sei fraglich, weshalb die Mitteilung erst</w:t>
      </w:r>
    </w:p>
    <w:p>
      <w:r>
        <w:t>- 7 - weniger als 24 Stunden vor der Hauptverhandlung erfolgt sei, obwohl die Staatsanwaltschaft Brugg-Zurzach seit Einreichung der Anklageschrift am 16. Oktober 2024 über die Rechtskraft des Urteils vom 8. September 2022 sowie den Abschreibungsbeschluss des Obergerichts vom 10. Juni 2024 informiert gewesen sei. Die Begründung eines fehlerhaften Vorstrafenre- gisters sei nicht überzeugend. Das Gericht habe diese Begründung jedoch zumindest stillschweigend gebilligt, während die Gerichtspräsidentin aus- geführt habe, die Verteidigung sei über die massgeblichen Umstände infor- miert gewesen, sodass eine wirksame Verteidigung möglich gewesen sei. Dies verstosse gegen das Prinzip der "gleich langen Spiesse". Beim bean- tragten Widerruf handle es sich nicht um eine blosse Modifikation, sondern faktisch um eine erhebliche Erhöhung des Strafmasses um eineinhalb Jahre Freiheitsstrafe gegenüber der ursprünglichen Anklage, was eine un- zulässige Ausweitung der Anklage darstelle. Eine sorgfältige und sachge- rechte Vorbereitung der Verteidigung innerhalb von weniger als 24 Stunden sei objektiv unzumutbar und verunmögliche eine wirksame Verteidi- gung. Damit seien sowohl das rechtliche Gehör als auch der Anspruch auf ein faires Verfahren des Gesuchstellers verletzt worden, was die Befangen- heit des Gerichts weiter belege (act. 106; Stellungnahme des Gesuchstel- lers vom 21. Juli 2025, Rz. 6 ff.).</w:t>
      </w:r>
    </w:p>
    <w:p>
      <w:r>
        <w:rPr>
          <w:b/>
        </w:rPr>
        <w:t>E. 3.2.2</w:t>
      </w:r>
    </w:p>
    <w:p>
      <w:r>
        <w:t>Der Ansicht des Gesuchstellers ist nicht zu folgen. Nach Art. 326 Abs.1 lit. f StPO hat die Staatsanwaltschaft die beantragte Sanktion in der Anklage- schrift zu nennen oder zu vermerken, dass sie diesen Antrag anlässlich der Hauptverhandlung stellen wird. Es steht ihr damit frei, auch in Fällen, in denen sie die Anklage vor Gericht persönlich vertreten muss, bereits in der Anklageschrift die von ihr gestellten Anträge bezüglich Sanktionen zu nen- nen. Sie ist daran jedoch nicht gebunden, sodass sie anlässlich der Haupt- verhandlung abweichende Anträge stellen kann (Art. 337 Abs. 2 StPO). Dies gilt auch für ihre Anträge auf nachträgliche richterliche Entscheidun- gen (Art. 326 Abs. 1 lit. g StPO) betreffend Widerrufsfragen (JOSITSCH/SCHMID, in: Schweizerische Strafprozessordnung, Praxiskom- mentar, 4. Aufl. 2023, N. 8 ff. zu Art. 326 StPO). Der von der Staatsanwalt- schaft Brugg-Zurzach am Vortag der Hauptverhandlung vom 20. Mai 2025 angekündigte Antrag auf Widerruf der bedingten Freiheitsstrafe von 20 Mo- naten und der Ausfällung einer Gesamtstrafe von viereinhalb Jahren Frei- heitsstrafe stellt folglich keine unzulässige Ausweitung der Anklage dar. Vielmehr handelt es sich dabei um eine zulässige Anpassung der An- träge innerhalb des ansonsten unverändert gebliebenen Tatvorwurfs bzw. Anklagesachverhalts. Soweit der Gesuchsteller geltend macht, die kurzfristige Mitteilung am Vortag der Hauptverhandlung vom 20. Mai 2025 habe seine Verteidigungsrechte unzulässigerweise beeinträchtigt, ist er da- rauf hinzuweisen, dass die massgeblichen Umstände (insbesondere die rechtskräftige Verurteilung vom 8. September 2022 und der Abschrei- bungsbeschluss vom 10. Juni 2024) auch ihm am 19. Mai 2025 bereits seit</w:t>
      </w:r>
    </w:p>
    <w:p>
      <w:r>
        <w:t>- 8 - einiger Zeit bekannt sein mussten. Die Verteidigung hatte somit ausrei- chend Gelegenheit, die Möglichkeit eines Widerrufs und einer Gesamt- strafe in Betracht zu ziehen und sich entsprechend vorzubereiten – ebenso, wie es der Fall gewesen wäre, wenn die Staatsanwaltschaft Brugg-Zurzach von Anfang an von ihrem in Art. 326 Abs. 1 lit. f und lit. g StPO verankerten Recht Gebrauch gemacht hätte, die beantragte Sanktion und die Anträge zur nachträglichen richterlichen Entscheidung über den Widerruf der be- dingt ausgesprochenen Freiheitsstrafe erst an der Hauptverhandlung vom 20. Mai 2025 bekanntzugeben. Dass die Gerichtspräsidentin des Bezirks- gerichts Brugg im Vorfeld keine materielle Vorprüfung der Antragstellung vornahm, ist folgerichtig, da über die Anträge im Rahmen der Hauptver- handlung zu entscheiden war. Weshalb der Gesuchsteller aufgrund der te- lefonischen Mitteilung, über die angekündigten Anträge werde anlässlich der Hauptverhandlung entschieden, nicht mit einer "Gutheissung" des Vor- gehens der Staatsanwaltschaft Brugg-Zurzach hätte rechnen müssen, er- schliesst sich daher nicht. Die nachträgliche Änderung der Anträge stellt weder eine Verletzung des rechtlichen Gehörs des Gesuchstellers noch ei- nen Verstoss gegen das Prinzip der "gleich langen Spiesse" dar. Entspre- chend ist nicht zu beanstanden, dass das Bezirksgericht Brugg die Anklage nicht an die Staatsanwaltschaft Brugg-Zurzach zurückwies und es lässt sich darin folglich auch kein Anschein der Befangenheit des Gerichts erbli- cken.</w:t>
      </w:r>
    </w:p>
    <w:p>
      <w:r>
        <w:rPr>
          <w:b/>
        </w:rPr>
        <w:t>E. 3.3</w:t>
      </w:r>
    </w:p>
    <w:p>
      <w:r>
        <w:t>Zusammengefasst ist das Vorgehen des Bezirksgerichts Brugg in Bezug auf die vom Gesuchsteller aufgeworfene Vorfrage zur Verwertbarkeit be- stimmter Einvernahmen sowie die von der Staatsanwaltschaft Brugg-Zurz- ach am 19. Mai 2025 neu beantragte Sanktion weder objektiv geeignet, den Anschein der Befangenheit zu erwecken, noch lässt es auf eine Voreinge- nommenheit gegenüber dem Beschwerdeführer schliessen. Ein Aus- standsgrund i.S.v. Art. 56 lit. f StPO gegen die Besetzung des Spruchkör- pers des Bezirksgerichts Brugg vom 20. Mai 2025 ist somit nicht gegeben.</w:t>
      </w:r>
    </w:p>
    <w:p>
      <w:r>
        <w:rPr>
          <w:b/>
        </w:rPr>
        <w:t>E. 4</w:t>
      </w:r>
    </w:p>
    <w:p>
      <w:r>
        <w:t>Bei diesem Ausgang des Verfahrens sind die Kosten gemäss Art. 59 Abs. 4 StPO dem Gesuchsteller aufzuerlegen. Entschädigungen sind keine aus- zurichten. Die Beschwerdekammer entscheidet: 1. Das Ausstandsgesuch des Gesuchstellers wird abgewiesen.</w:t>
      </w:r>
    </w:p>
    <w:p>
      <w:r>
        <w:t>- 9 - 2. Die Verfahrenskosten, bestehend aus einer Gerichtsgebühr von Fr. 1'000.00 und den Auslagen von Fr. 114.00, zusammen Fr. 1'114.00, werden dem Gesuchsteller auferlegt.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August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