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SBK.2024.70 vom 3. Mai 2024</w:t>
      </w:r>
    </w:p>
    <w:p>
      <w:r>
        <w:t>Ag Strafgericht, 2024-05-03, DE</w:t>
      </w:r>
    </w:p>
    <w:p>
      <w:r>
        <w:rPr>
          <w:b/>
        </w:rPr>
        <w:t xml:space="preserve">Quelle: </w:t>
      </w:r>
      <w:r>
        <w:t>https://mcp.opencaselaw.ch/entscheid/ag_strafgericht_SBK.2024.70</w:t>
      </w:r>
    </w:p>
    <w:p>
      <w:r>
        <w:t>FR: AG_STRAFGERICHT SBK.2024.70 du 3 mai 2024</w:t>
      </w:r>
    </w:p>
    <w:p>
      <w:r>
        <w:t>IT: AG_STRAFGERICHT SBK.2024.70 del 3 maggio 2024</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(vgl. Art. 396 Abs. 1 i.V.m. Art. 385 Abs. 1 StPO) erhoben.</w:t>
      </w:r>
    </w:p>
    <w:p>
      <w:r>
        <w:t>- 6 -</w:t>
      </w:r>
    </w:p>
    <w:p>
      <w:r>
        <w:rPr>
          <w:b/>
        </w:rPr>
        <w:t>E. 1.2.1</w:t>
      </w:r>
    </w:p>
    <w:p>
      <w:r>
        <w:t>Zur Beschwerde legitimiert sind entgegen dem Wortlaut von Art. 322 Abs. 2 StPO (i.V.m. Art. 310 Abs. 2 StPO) nicht nur die Parteien, sondern auch die anderen Verfahrensbeteiligten i.S.v. Art. 105 Abs. 1 StPO, soweit sie in ih- ren Rechten unmittelbar betroffen sind (vgl. Art. 105 Abs. 2 StPO), d.h. so- weit sie durch die Nichtanhandnahme beschwert sind. Geschädigte, die sich nicht als Privatkläger konstituiert haben, können eine Nichtanhand- nahme nicht anfechten. Die Konstituierung als Privatkläger hat bis zum Ab- schluss des Vorverfahrens zu erfolgen (Art. 118 Abs. 3 i.V.m. Art. 318 StPO). Vorliegend hat sich die Beschwerdeführerin bereits mit Einreichung der Strafanzeige als Privatklägerin konstituiert. Fraglich ist indessen, ob die Be- schwerdeführerin zur Konstituierung als Privatklägerin berechtigt war, was im Folgenden zu prüfen ist.</w:t>
      </w:r>
    </w:p>
    <w:p>
      <w:r>
        <w:rPr>
          <w:b/>
        </w:rPr>
        <w:t>E. 1.2.2.1</w:t>
      </w:r>
    </w:p>
    <w:p>
      <w:r>
        <w:t>Bei Straftaten gegen das Vermögen gilt der Träger des geschädigten Ver- mögens als geschädigte Person. Bei Vermögensdelikten zum Nachteil ei- ner Aktiengesellschaft sind weder die Aktionäre noch die Gesellschafts- gläubiger unmittelbar verletzt (BGE 148 IV 170 E. 3.3.1). Fällt die geschä- digte Aktiengesellschaft in Konkurs bzw. wird sie nach den Vorschriften über den Konkurs liquidiert, gilt die Konkursmasse als ihre Rechtsnachfol- gerin (vgl. Art. 121 Abs. 2 StPO i.V.m. Art. 197 SchKG; BGE 148 IV 170 E. 3.3.2). Soweit die Beschwerdeführerin Strafanzeige wegen Vermögensdelikten zum Nachteil der E._____ AG erhob (ungetreue Geschäftsbesorgung und Betrug) gilt sie als blosse Aktionärin nicht als geschädigte Person i.S.v. Art. 115 Abs. 1 StPO.</w:t>
      </w:r>
    </w:p>
    <w:p>
      <w:r>
        <w:rPr>
          <w:b/>
        </w:rPr>
        <w:t>E. 1.2.2.2</w:t>
      </w:r>
    </w:p>
    <w:p>
      <w:r>
        <w:t>Geschütztes Rechtsgut der Konkursdelikte gemäss Art. 163 ff. StGB ist das Vermögen der Gläubiger des Gemeinschuldners. Als geschädigte Perso- nen gemäss Art. 115 Abs. 1 StPO gelten infolgedessen die einzelnen Gläu- biger. Die Aktionäre sind durch Konkursdelikte nur indirekt betroffen, es sei denn, sie haben gleichzeitig Gläubigerstellung (BGE 148 IV 170 E. 3.4.1). Die Beschwerdeführerin beruft sich überwiegend bloss auf eine Aktionärs-, nicht dagegen auf ein Stellung als Gläubigerin der E._____ AG. Nur im Zu- sammenhang mit dem Tatbestand der Bevorzugung eines Gläubigers i.S.v. Art. 167 StGB beruft sie sich immerhin sinngemäss auf eine Gläubigerstel- lung. Dies allerdings ohne konkret darzulegen, welche Forderung ihr ge- genüber der E._____ AG zugestanden haben soll. Eine Gläubigerstellung</w:t>
      </w:r>
    </w:p>
    <w:p>
      <w:r>
        <w:t>- 7 - der Beschwerdeführerin ist damit nicht dargetan. Folglich ist die Beschwer- deführerin auch nicht geschädigte Person, soweit Konkursdelikte im Raum stehen (Misswirtschaft, Bevorzugung eines Gläubigers, Unterlassung der Buchführung).</w:t>
      </w:r>
    </w:p>
    <w:p>
      <w:r>
        <w:rPr>
          <w:b/>
        </w:rPr>
        <w:t>E. 1.2.2.3</w:t>
      </w:r>
    </w:p>
    <w:p>
      <w:r>
        <w:t>Die Tatbestände des Urkundenstrafrechts dienen dem Schutz von Sicher- heit und Zuverlässigkeit des Rechtsverkehrs mit Urkunden. Sie schützen das besondere Vertrauen, welches von den Teilnehmern am Rechtsver- kehr einer Urkunde als Beweismittel entgegengebracht wird. Die Urkunden- delikte schützen in erster Linie die Allgemeinheit. Private Interessen kön- nen nur dann unmittelbar verletzt sein, wenn sich das Delikt auf die Be- nachteiligung einer bestimmten Person richtet. Dies ist namentlich der Fall, wenn die Urkundenfälschung auf die Verfolgung eines weitergehenden, wirtschaftlichen Zwecks abzielt und insofern als blosse Vorbereitungshand- lung eines schädigenden Vermögensdelikts erscheint. Dabei schützt der Tatbestand der Urkundenfälschung den Einzelnen davor, durch Scheiner- klärungen oder qualifiziert unrichtige Erklärungen getäuscht und dadurch zu nachteiligen rechtserheblichen Dispositionen veranlasst zu werden (BGE 148 IV 170 E. 3.5.1). Vorliegend macht die Beschwerdeführerin nicht geltend, die von ihr bean- zeigten Urkundendelikte hätten sich direkt gegen sie gerichtet, insbeson- dere macht sie nicht geltend, diese erschienen gleichsam als Vorberei- tungshandlung eines gegen sie direkt verübten Vermögensdelikts. Entspre- chend gilt die Beschwerdeführerin auch hinsichtlich der beanzeigten Ur- kundendelikte nicht als geschädigte Person i.S.v. Art. 115 Abs. 1 StPO.</w:t>
      </w:r>
    </w:p>
    <w:p>
      <w:r>
        <w:rPr>
          <w:b/>
        </w:rPr>
        <w:t>E. 1.2.2.4</w:t>
      </w:r>
    </w:p>
    <w:p>
      <w:r>
        <w:t>Abstrakte Gefährdungsdelikte schützen die Aufrechterhaltung eines allge- meinen Sorgfaltsstandards zu Präventionszwecken. Dies gilt auch für die strafbaren Vorbereitungshandlungen. Bei abstrakten Gefährdungsdelikten kann eine geschädigte Person nur dann vorliegen, wenn jemand als Folge der Begehung eines solchen Delikts zumindest konkret gefährdet oder ge- schädigt wurde (MAZZUCCHELLI/POSTIZZI, in: Basler Kommentar, Schweize- rische Strafprozessordnung, 3. Aufl. 2023, N. 30 und 58 zu Art. 115 StPO). Bei den von der Beschwerdeführerin zur Anzeige gebrachten Tatbeständen der unwahren Angaben gegenüber Handelsregisterbehörden (Art. 153 StGB) sowie der ordnungswidrigen Führung der Geschäftsbücher (Art. 325 StGB) handelt es sich um abstrakte Gefährdungsdelikte (WEISSENBERGER, in: Basler Kommentar, Strafrecht II, 4. Aufl. 2019, N. 3 zu Art. 153 StGB; NIGGLI/HAGENSTEIN, in: Basler Kommentar, Strafrecht II, 4. Aufl. 2019, N. 3 zu Art. 325 StGB). Die Beschwerdeführerin legt nicht dar, inwiefern sie durch die von ihr behaupteten unwahren Angaben gegenüber Handelsre- gisterbehörden bzw. ordnungswidrige Führung der Geschäftsbücher</w:t>
      </w:r>
    </w:p>
    <w:p>
      <w:r>
        <w:t>- 8 - konkret gefährdet oder geschädigt worden wäre. Entsprechend gilt sie auch hinsichtlich dieser Tatbestände nicht als geschädigte Person.</w:t>
      </w:r>
    </w:p>
    <w:p>
      <w:r>
        <w:rPr>
          <w:b/>
        </w:rPr>
        <w:t>E. 1.2.2.5</w:t>
      </w:r>
    </w:p>
    <w:p>
      <w:r>
        <w:t>Steuerstrafrechtliche Tatbestände schützen ausschliesslich Gemeininte- ressen und keine individuellen Rechtsgüter (Urteil des Bundesgerichts 1B_324/2012 vom 26. November 2012 E. 1.2.4). Die finanziellen Interes- sen des Gemeinwesens gelten allerdings nur als mittelbar betroffen, zumal es noch die Nachsteuer erheben kann und sich bei Steuerausfällen die zur Erfüllung seiner Aufgaben nötigen Mittel entweder durch Erhöhung oder durch Verzicht auf eine ansonsten mögliche Senkung der Steuersätze ver- schaffen kann. Eine Teilnahme der Steuerbehörde als Privatklägerin am Strafverfahren ist deshalb ausgeschlossen (MAZZUCCHELLI/POSTIZZI, a.a.O., N. 89 zu Art. 115 StPO). Erst recht nicht im Sinne von Art. 115 Abs. 1 StPO geschädigt sein können Private (Urteil des Bundesgerichts 1B_324/2012 vom 26. November 2012 E. 1.2.4). Demgemäss gilt die Be- schwerdeführerin auch hinsichtlich der von ihr beanzeigten Steuerdelikte (Steuerbetrug sowie Verletzung der Überwälzungsvorschriften gemäss Verrechnungssteuergesetz) nicht als geschädigte Person i.S.v. Art. 115 Abs. 1 StGB.</w:t>
      </w:r>
    </w:p>
    <w:p>
      <w:r>
        <w:rPr>
          <w:b/>
        </w:rPr>
        <w:t>E. 1.3</w:t>
      </w:r>
    </w:p>
    <w:p>
      <w:r>
        <w:t>Zusammenfassend hat sich die Beschwerdeführerin zwar als Privatklägerin konstituiert, mangels Eigenschaft als geschädigte Person i.S.v. Art. 115 Abs. 1 StPO war sie hierzu jedoch nicht berechtigt. Demgemäss kommt der Beschwerdeführerin keine Stellung als Privatklägerin und damit auch keine Beschwerdelegitimation zu. Bei dieser Sachlage ist auf die Beschwerde nicht einzutreten.</w:t>
      </w:r>
    </w:p>
    <w:p>
      <w:r>
        <w:rPr>
          <w:b/>
        </w:rPr>
        <w:t>E. 2</w:t>
      </w:r>
    </w:p>
    <w:p>
      <w:r>
        <w:t>Die Kosten des Beschwerdeverfahrens, bestehend aus einer Gerichtsge- bühr von Fr. 800.00 und den Auslagen von Fr. 43.00, zusammen</w:t>
      </w:r>
    </w:p>
    <w:p>
      <w:r>
        <w:t>- 9 - Fr. 843.00, werden der Beschwerdeführerin auferlegt und mit der von ihr geleisteten Sicherheit von Fr. 1'000.00 verrechnet.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 Mai 2024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