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SBK.2024.188 vom 9. Dezember 2024</w:t>
      </w:r>
    </w:p>
    <w:p>
      <w:r>
        <w:t>Ag Strafgericht, 2024-12-09, DE</w:t>
      </w:r>
    </w:p>
    <w:p>
      <w:r>
        <w:rPr>
          <w:b/>
        </w:rPr>
        <w:t xml:space="preserve">Quelle: </w:t>
      </w:r>
      <w:r>
        <w:t>https://mcp.opencaselaw.ch/entscheid/ag_strafgericht_SBK.2024.188</w:t>
      </w:r>
    </w:p>
    <w:p>
      <w:r>
        <w:t>FR: AG_STRAFGERICHT SBK.2024.188 du 9 décembre 2024</w:t>
      </w:r>
    </w:p>
    <w:p>
      <w:r>
        <w:t>IT: AG_STRAFGERICHT SBK.2024.188 del 9 dicembre 2024</w:t>
      </w:r>
    </w:p>
    <w:p>
      <w:pPr>
        <w:pStyle w:val="Heading2"/>
      </w:pPr>
      <w:r>
        <w:t>Erwägungen</w:t>
      </w:r>
    </w:p>
    <w:p>
      <w:r>
        <w:rPr>
          <w:b/>
        </w:rPr>
        <w:t>E. 1.1</w:t>
      </w:r>
    </w:p>
    <w:p>
      <w:r>
        <w:t>Einstellungsverfügungen der Staatsanwaltschaft sind gemäss Art. 322 Abs. 2 i.V.m. Art. 393 Abs. 1 lit. a StPO mit Beschwerde anfechtbar. Be- schwerdeausschlussgründe i.S.v. Art. 394 StPO liegen nicht vor. Damit ist die Beschwerde grundsätzlich zulässig.</w:t>
      </w:r>
    </w:p>
    <w:p>
      <w:r>
        <w:rPr>
          <w:b/>
        </w:rPr>
        <w:t>E. 1.2</w:t>
      </w:r>
    </w:p>
    <w:p>
      <w:r>
        <w:t>Zur Beschwerde legitimiert ist jede Partei, die ein rechtlich geschütztes In- teresse an der Abänderung oder Aufhebung des Entscheids hat (Art. 382 Abs. 1 StPO). Partei ist u.a. die Privatklägerschaft (Art. 104 Abs. 1 lit. b StPO), wobei als Privatklägerschaft die geschädigte Person gilt, die ausdrücklich erklärt, sich am Strafverfahren als Straf- oder Zivilklägerin oder -kläger zu beteiligen</w:t>
      </w:r>
    </w:p>
    <w:p>
      <w:r>
        <w:t>- 4 - (Art. 118 Abs. 1 StPO). Der Strafantrag ist dieser Erklärung gleichgestellt (Art. 118 Abs. 2 StPO). Als geschädigte Person gilt nur die Person, die durch die Straftat in ihren Rechten unmittelbar verletzt worden ist (Art. 115 Abs. 1 StPO). Die Voraussetzung der unmittelbaren Rechtsverletzung knüpft an den Rechtsgutbegriff an. Unmittelbar verletzt ist nach herrschen- der Auffassung der Träger des durch die verletzte Strafnorm (mit-)ge- schützten Rechtsgutes, wer also unter den Schutzbereich der verletzten Strafnorm fällt (GORAN MAZZUCCHELLI/MARIO POSTIZZI, in: Basler Kommen- tar, Schweizerische Strafprozessordnung, 3. Aufl. 2023, N. 21 f. zu Art. 115 StPO). Die Anknüpfung an den Rechtsgutbegriff hat zur Folge, dass im Ein- zelfall stets auf das materielle Strafrecht zurückgegriffen werden muss, um feststellen zu können, wer als geschädigte Person i.S.v. Art. 115 Abs. 1 StPO zu betrachten ist (MAZZUCCHELLI/POSTIZZI, a.a.O., N. 45 zu Art. 115 StPO). Der vom Beschwerdeführer beanzeigte Tatbestand des falschen Zeugnis- ses gemäss Art. 307 StGB schützt unmittelbar die Korrektheit von Beweis- verfahren, d.h. die Ermittlung der Wahrheit in einem gerichtlichen Verfah- ren, und mittelbar die allfällig davon betroffenen Prozessparteien mit ihren immateriellen oder materiellen Interessen. Privatpersonen gelten dann als Geschädigte eines falschen Zeugnisses im Sinne des Strafprozessrechts, wenn ihre privaten Interessen als unmittelbare Folge der tatbestandsmäs- sigen Handlung effektiv im Sinne eines Schadens verletzt worden sind (Ur- teil des Bundesgerichts 6B_87/2018 vom 30. Mai 2018 E. 4 m.w.H.). Der Beschwerdeführer zeigt nicht auf, inwiefern er durch das angeblich fal- sche Zeugnis des Beschuldigten unmittelbar als Folge der tatbestandsmäs- sigen Handlung effektiv in seinen privaten Interessen verletzt wurde. Dies ergibt sich auch nicht aus den Akten. Das vom Beschwerdeführer behaup- tete falsche Zeugnis des Beschuldigten wurde anlässlich der Hauptver- handlung eines Zivilprozesses vom 10. September 2019 vor Bezirksgericht Baden abgelegt (OZ.2016.38). Diesem Prozess lag die von C._____ sel. gegen den Beschwerdeführer erhobene Widerspruchsklage gemäss Art. 107 Abs. 5 SchKG vom 26. Oktober 2016 zugrunde. C._____ sel. be- antragte, es sei festzustellen, dass er rechtmässiger Grundpfandgläubiger der Inhaberschuldbriefe im 5. bis 9. Rang sei. Mit Entscheid vom 10. Sep- tember 2019 wies das Bezirksgericht Baden die Klage ab. Die dagegen erhobene Berufung wies das Obergericht des Kantos Aargau mit Entscheid vom 30. Oktober 2020 ab. Das Bundesgericht hob auf Beschwerde von C._____ sel. hin mit Urteil vom 16. Dezember 2021 das obergerichtliche Urteil auf und wies die Angelegenheit zur neuen Entscheidung an das Obergericht zurück. Mit Urteil vom 30. Mai 2022 hob das Obergericht des Kantons Aargau den bezirksgerichtlichen Kostenspruch in teilweiser Gut- heissung der Berufung auf und fasste ihn neu. Im Übrigen wies es die Be- rufung ab. Die dagegen erhobene Beschwerde von der Erbengemeinschaft</w:t>
      </w:r>
    </w:p>
    <w:p>
      <w:r>
        <w:t>- 5 - des C._____ sel. wies das Bundesgericht mit Urteil vom 16. August 2023 ab, soweit es darauf eintrat. Nachdem die von C._____ sel. gegen den Beschwerdeführer erhobene Wi- derspruchsklage – in deren Rahmen das angeblich falsche Zeugnis abge- legt wurde – rechtskräftig abgewiesen wurde, der Beschwerdeführer mithin vollständig obsiegte, ist nicht ersichtlich, inwiefern die privaten Interessen des Beschwerdeführers durch dieses angeblich falsche Zeugnis unmittel- bar und effektiv verletzt worden sein sollen. Mangels unmittelbarer und ef- fektiver Verletzung seiner privaten Interessen fehlt es dem Beschwerdefüh- rer an der Geschädigtenstellung im Sinne von Art. 115 Abs. 1 StPO, wes- halb auf seine Beschwerde nicht einzutreten ist.</w:t>
      </w:r>
    </w:p>
    <w:p>
      <w:r>
        <w:rPr>
          <w:b/>
        </w:rPr>
        <w:t>E. 2</w:t>
      </w:r>
    </w:p>
    <w:p>
      <w:r>
        <w:t>Die obergerichtlichen Verfahrenskosten, bestehend aus einer Gerichtsge- bühr von Fr. 200.00 und den Auslagen von Fr. 118.00, zusammen Fr. 318.00, werden dem Beschwerdeführer auferlegt und mit der von ihm geleisteten Sicherheit von Fr. 1'000.00 verrechnet.</w:t>
      </w:r>
    </w:p>
    <w:p>
      <w:r>
        <w:t>- 6 -</w:t>
      </w:r>
    </w:p>
    <w:p>
      <w:r>
        <w:rPr>
          <w:b/>
        </w:rPr>
        <w:t>E. 2.1</w:t>
      </w:r>
    </w:p>
    <w:p>
      <w:r>
        <w:t>Die Kosten des Rechtsmittelverfahrens tragen die Parteien nach Massgabe ihres Obsiegens oder Unterliegens. Als unterliegend gilt auch die Partei, auf deren Rechtsmittel nicht eingetreten wird (Art. 428 Abs. 1 StPO), wes- halb die Kosten des Beschwerdeverfahrens dem Beschwerdeführer aufzu- erlegen sind. Entschädigungen sind ihm keine auszurichten.</w:t>
      </w:r>
    </w:p>
    <w:p>
      <w:r>
        <w:rPr>
          <w:b/>
        </w:rPr>
        <w:t>E. 2.2</w:t>
      </w:r>
    </w:p>
    <w:p>
      <w:r>
        <w:t>Der Beschuldigte ist amtlich verteidigt. Entsprechend ist der amtliche Ver- teidiger aus der Staatskasse zu entschädigen (Art. 135 Abs. 2 StPO). Bei der amtlichen Verteidigung beträgt der Stundenansatz in der Regel Fr. 220.00 und kann in einfachen Fällen bis auf Fr. 200.00 reduziert werden (§ 9 Abs. 3bis AnwT). Der amtliche Verteidiger des Beschuldigten beziffert mit Honorarnote vom 22. August 2024 seine Aufwendungen für das Beschwerdeverfahren auf Fr. 1'959.65 (8 Stunden à Fr. 220.00; Auslagen Fr. 52.80; MwSt. Fr. 146.85). Dies erscheint angemessen und ist entsprechend dem amtli- chen Verteidiger aus der Staatskasse zuzusprechen. Die Beschwerdekammer entscheidet: 1. Auf die Beschwerde wird nicht eingetreten.</w:t>
      </w:r>
    </w:p>
    <w:p>
      <w:r>
        <w:rPr>
          <w:b/>
        </w:rPr>
        <w:t>E. 3</w:t>
      </w:r>
    </w:p>
    <w:p>
      <w:r>
        <w:t>Die Obergerichtskasse wird angewiesen, dem amtlichen Verteidiger des Beschuldigten als Entschädigung für dieses Beschwerdeverfahren Fr. 1'959.65 (inkl. Auslagen und MwSt.) auszurichten.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9. Dezember 2024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