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SBK.2024.149 vom 4. Juli 2024</w:t>
      </w:r>
    </w:p>
    <w:p>
      <w:r>
        <w:t>Ag Strafgericht, 2024-07-04, DE</w:t>
      </w:r>
    </w:p>
    <w:p>
      <w:r>
        <w:rPr>
          <w:b/>
        </w:rPr>
        <w:t xml:space="preserve">Quelle: </w:t>
      </w:r>
      <w:r>
        <w:t>https://mcp.opencaselaw.ch/entscheid/ag_strafgericht_SBK.2024.149</w:t>
      </w:r>
    </w:p>
    <w:p>
      <w:r>
        <w:t>FR: AG_STRAFGERICHT SBK.2024.149 du 4 juillet 2024</w:t>
      </w:r>
    </w:p>
    <w:p>
      <w:r>
        <w:t>IT: AG_STRAFGERICHT SBK.2024.149 del 4 luglio 2024</w:t>
      </w:r>
    </w:p>
    <w:p>
      <w:pPr>
        <w:pStyle w:val="Heading2"/>
      </w:pPr>
      <w:r>
        <w:t>Erwägungen</w:t>
      </w:r>
    </w:p>
    <w:p>
      <w:r>
        <w:rPr>
          <w:b/>
        </w:rPr>
        <w:t>E. 1.1</w:t>
      </w:r>
    </w:p>
    <w:p>
      <w:r>
        <w:t>Verfügungen der erstinstanzlichen Gerichte sind gemäss Art. 393 Abs. 1 lit. b StPO grundsätzlich mit Beschwerde anfechtbar. Gemäss Art. 396 Abs. 1 StPO ist die Beschwerde gegen schriftlich oder mündlich eröffnete Entscheide innert 10 Tagen schriftlich und begründet bei der Beschwer- deinstanz einzureichen. Dabei hat die Person, die das Rechtsmittel ergreift, gestützt auf Art. 396 Abs. 1 i.V.m. Art. 385 Abs. 1 StPO genau anzugeben, welche Punkte des Entscheides sie anficht (lit. a), welche Gründe einen anderen Entscheid nahelegen (lit. b) sowie welche Beweismittel sie anruft (lit. c). Antrag und Begründung sind jeweils auseinanderzuhalten, doch können insbesondere in Laieneingaben Anträge erst aus der Begründung hervor- gehen. Dies genügt, wenn sie hinreichend deutlich sind, wobei in der Praxis diesbezüglich grosszügig verfahren wird (JÜRG BÄHLER, in: Basler Kom- mentar, Schweizerische Strafprozessordnung, 3. Aufl. 2023, N. 3 zu Art. 385 StPO). Bei sogenannten Laienbeschwerden dürfen die Anforde- rungen an die Begründungspflicht nicht allzu hoch angesetzt werden. Den- noch darf auch von Laien erwartet werden, auf die vorinstanzliche Begrün- dung konkret einzugehen (Urteil des Bundesgericht 6B_125/2024 vom</w:t>
      </w:r>
    </w:p>
    <w:p>
      <w:r>
        <w:rPr>
          <w:b/>
        </w:rPr>
        <w:t>E. 1.2</w:t>
      </w:r>
    </w:p>
    <w:p>
      <w:r>
        <w:t>In der gegen die Nichteintretensverfügung des Präsidenten des Bezirksge- richts Kulm vom 30. April 2024 gerichteten Eingabe vom 8. Mai 2024 an das Obergericht fehlt ein ausdrücklicher Antrag, welche Abänderung des angefochtenen Entscheids verlangt wird oder wie anders entschieden wer- den soll. Solches ergibt sich auch aus der Begründung der Eingabe nicht. Der Beschwerdeführer zeigt angebliche Missstände bei den Ämtern auf und stellt die Frage, ob solchen Ämtern noch eine Unterschrift zuzumuten sei. Mit der Begründung der angefochtenen Verfügung, dass mangels Ori- ginalunterschrift des Beschwerdeführers keine rechtsgültige Einsprache er- folgt sei, setzt sich der Beschwerdeführer somit nicht auseinander. Ob die Beschwerdebegründung den Anforderungen von Art. 385 Abs. 1 StPO zu genügen vermag, ist damit fraglich, kann vorliegend jedoch offenbleiben, da die Beschwerde – wie nachfolgend zu zeigen sein wird – ohnehin abzu- weisen ist. 2. 2.1. Die beschuldigte Person kann gegen den Strafbefehl bei der Staatsanwalt- schaft innert 10 Tagen schriftlich Einsprache erheben (Art. 354 Abs. 1 lit. a StPO). 2.2. Wo das Gesetz ausdrücklich Schriftlichkeit verlangt, ist die Eingabe zu un- terzeichnen und zu datieren (Art. 110 Abs. 1, 2. Satz StPO; PETER HAF- NER/LARA GACHNANG, in: Basler Kommentar, Schweizerische Strafprozess- ordnung, 3. Aufl. 2023, N. 7 zu Art. 110 StPO). Mit "unterzeichnen" ist die eigenhändige Unterschrift i. S. v. Art. 14 Abs. 1 OR gemeint. Die Unterschrift muss eigenhändig auf dem Schriftdokument angebracht werden. Eine fotokopierte oder faksimilierte Unterschrift genügt den Anforderungen an die Eigenhändigkeit nicht. Ebenfalls ungenügend und nicht fristwahrend ist die Einreichung per Fax oder E-Mail. Nach der Rechtsprechung stellt es keinen überspitzten Formalismus dar, wenn vom Bürger verlangt wird, dass er seine Rechtsschriften eigenhändig unterzeichnet oder von einem bevoll- mächtigten Vertreter unterzeichnen lässt (HAFNER/GACHNANG, a.a.O., N. 9 zu Art. 110 StPO mit Hinweisen auf die Rechtsprechung, u.a. auf BGE 121 II 252 E. 3 = Pra 85 [1996] Nr. 147). Art. 110 Abs. 1 StPO sieht keine Sanktion bei fehlender Unterzeichnung schriftlicher Eingaben vor. Nach älterer Rechtsprechung des Bundesge- richts stellte die Unterzeichnung von Rechtsschriften eine Gültigkeitsvor- schrift dar. In letzter Zeit wird diese Voraussetzung im Hinblick auf das Ver- bot des überspitzten Formalismus vermehrt als Ordnungsvorschrift be- trachtet. Die prozessrechtlichen Vorschriften sollen der Verwirklichung des materiellen Rechts dienen, "weshalb die zur Rechtspflege berufenen Be- hörden verpflichtet sind, sich innerhalb des ihnen vom Gesetz gezogenen</w:t>
      </w:r>
    </w:p>
    <w:p>
      <w:r>
        <w:t>- 5 - Rahmens gegenüber den Rechtssuchenden so zu verhalten, dass deren Rechtsschutzinteresse materiell gewahrt werden kann". Vor Ablauf der Rechtsmittelfrist kann die fehlende Unterzeichnung nachgeholt werden, worauf die Behörde die Partei hinzuweisen hat. Die versehentlich verges- sene Unterschrift kann innerhalb einer angemessenen, von der Verfahrens- leitung angesetzten Nachfrist nachgeholt werden, selbst wenn die Einga- befrist inzwischen abgelaufen ist. Obwohl in Art. 110 StPO nicht ausdrück- lich vorgesehen, ist die Verfahrensleitung aufgrund eines aus dem Verbot des überspitzten Formalismus fliessenden allgemeinen prozessualen Rechtsgrundsatzes verpflichtet, eine solche Nachfrist zur Behebung des Mangels anzusetzen (HAFNER/GACHNANG, a.a.O., N. 10 zu Art. 110 StPO mit Hinweisen). 2.3. Die Staatsanwaltschaft Zofingen-Kulm teilte dem Beschwerdeführer mit Schreiben vom 5. März 2024 mit, dass Einsprachen ohne Originalunter- schrift nicht gültig seien und eine Fotokopie der Unterschrift nicht genüge. Nachdem die Einsprachefrist noch nicht abgelaufen war, setzte sie ihm eine Nachfrist von fünf Tagen, um die Einsprache mit Originalunterschrift einzureichen, und orientierte ihn darüber, dass der Strafbefehl ohne gültige Einsprache zum rechtskräftigen Urteil werde. Das Schreiben der Staatsan- waltschaft Zofingen-Kulm vom 5. März 2024 wurde dem Beschwerdeführer am 6. März 2024 zugestellt. Der Beschwerdeführer reagierte nicht darauf. Zusammenfassend ergibt sich, dass der Präsident des Bezirksgerichts Kulm zu Recht nicht auf die Einsprache eingetreten ist. Die dagegen ge- richtete Beschwerde des Beschwerdeführers ist demnach abzuweisen, so- weit darauf einzutreten ist. 3. Bei diesem Ausgang des Beschwerdeverfahrens hat der Beschwerdefüh- rer die obergerichtlichen Verfahrenskosten zu tragen (Art. 428 Abs. 1 StPO). Eine Entschädigung ist ihm nicht auszurichten, nachdem er mit seiner Beschwerde vollumfänglich unterliegt. Die Beschwerdekammer entscheidet: 1. Die Beschwerde wird abgewiesen, soweit darauf eingetreten wird. 2. Die obergerichtlichen Verfahrenskosten, bestehend aus einer Gerichtsge- bühr von Fr. 1'000.00 sowie den Auslagen von Fr. 57.00, zusammen Fr. 1'057.00, werden dem Beschwerdeführer auferlegt.</w:t>
      </w:r>
    </w:p>
    <w:p>
      <w:r>
        <w:t>- 6 -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Juli 2024 Obergericht des Kantons Aargau Beschwerdekammer in Strafsachen Der Präsident: Die Gerichtsschreiberin: Richli Groebli Arioli</w:t>
      </w:r>
    </w:p>
    <w:p>
      <w:r>
        <w:rPr>
          <w:b/>
        </w:rPr>
        <w:t>E. 5</w:t>
      </w:r>
    </w:p>
    <w:p>
      <w:r>
        <w:t>Juni 2024 E. 2.3.2 mit Verweis auf Urteile 6B_1327/2022 vom 11. Ap- ril 2023 E. 2.1, 6B_583/2022 vom 9. Dezember 2022 E. 2.1, 6B_879/2021 vom 5. Oktober 2022 E. 5.1; je mit Hinweisen).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