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SBK.2023.69 vom 8. März 2023</w:t>
      </w:r>
    </w:p>
    <w:p>
      <w:r>
        <w:t>Ag Strafgericht, 2023-03-08, DE</w:t>
      </w:r>
    </w:p>
    <w:p>
      <w:r>
        <w:rPr>
          <w:b/>
        </w:rPr>
        <w:t xml:space="preserve">Quelle: </w:t>
      </w:r>
      <w:r>
        <w:t>https://mcp.opencaselaw.ch/entscheid/ag_strafgericht_SBK.2023.69</w:t>
      </w:r>
    </w:p>
    <w:p>
      <w:r>
        <w:t>FR: AG_STRAFGERICHT SBK.2023.69 du 8 mars 2023</w:t>
      </w:r>
    </w:p>
    <w:p>
      <w:r>
        <w:t>IT: AG_STRAFGERICHT SBK.2023.69 del 8 marzo 2023</w:t>
      </w:r>
    </w:p>
    <w:p>
      <w:pPr>
        <w:pStyle w:val="Heading2"/>
      </w:pPr>
      <w:r>
        <w:t>Erwägungen</w:t>
      </w:r>
    </w:p>
    <w:p>
      <w:r>
        <w:rPr>
          <w:b/>
        </w:rPr>
        <w:t>E. 1.1</w:t>
      </w:r>
    </w:p>
    <w:p>
      <w:r>
        <w:t>Die Staatsanwaltschaft Muri-Bremgarten stellte mit Verfügung vom 6. Juli 2022 fest, dass der am 1. März 2022 gegen den Beschwerdeführer erlas- sene Strafbefehl in Rechtskraft erwachsen sei. Diese Verfügung ist gestützt auf Art. 393 Abs. 1 lit. a StPO mit Beschwerde anfechtbar. Der Beschwer- deführer hat als Reaktion auf diese Verfügung am 22. Juli 2022 "Einspra- che gegen den Strafbefehl erhoben".</w:t>
      </w:r>
    </w:p>
    <w:p>
      <w:r>
        <w:rPr>
          <w:b/>
        </w:rPr>
        <w:t>E. 1.2.1</w:t>
      </w:r>
    </w:p>
    <w:p>
      <w:r>
        <w:t>Die Beschwerde ist innert zehn Tagen schriftlich und begründet bei der Be- schwerdeinstanz einzureichen (Art. 396 Abs. 1 StPO). Diese gesetzliche Frist kann nicht erstreckt werden (Art. 89 Abs. 1 StPO). Die Partei, die das</w:t>
      </w:r>
    </w:p>
    <w:p>
      <w:r>
        <w:t>- 4 - Rechtsmittel ergreift, hat in der Beschwerdeschrift genau anzugeben, wel- che Punkte des Entscheids sie anficht, welche Gründe einen anderen Ent- scheid nahelegen, und welche Beweismittel sie anruft (Art. 385 Abs. 1 StPO). Erfüllt die Eingabe diese Anforderungen nicht, so weist die Rechts- mittelinstanz sie zur Verbesserung innerhalb einer kurzen Nachfrist zurück. Genügt die Eingabe auch nach Ablauf der Nachfrist den Anforderungen nicht, so tritt die Rechtsmittelinstanz auf das Rechtsmittel nicht ein (Art. 385 Abs. 2 StPO). Nicht jeder Begründungsmangel, der nicht mehr innert der gesetzlichen Rechtsmittelfrist behebbar ist, kann indessen zu einer Nachfrist nach Art. 385 Abs. 2 StPO führen. Es kann nicht Sinn und Zweck einer Nachfrist sein, grundlegend mangelhafte Rechtsschriften gegenüber prinzipiell rechtsgenüglichen Eingaben zu privilegieren, zumal Letztere unter Um- ständen die inhaltlichen Eintretenserfordernisse auch nicht in allen Punkten erfüllen. Die Beschwerdemotive müssen daher in jedem Fall, auch in Lai- enbeschwerden, bis zum Ablauf der zehntägigen Frist (Art. 396 Abs. 1 StPO) so konkret dargetan sein, dass klar wird, aus welchen Gründen der angefochtene Entscheid falsch sei. Ebenso müssen sich die innert gesetz- licher Frist gemachten Ausführungen wenigstens ansatzweise auf die Be- gründung des angefochtenen Entscheids beziehen. Anträge indessen kön- nen insbesondere in Laieneingaben auch aus der Begründung hervorge- hen (Urteil des Bundesgerichts 6B_280/2017 vom 9. Juni 2017 E. 2.2.2; PATRICK GUIDON, in: Basler Kommentar, Schweizerische Strafprozessord- nung, 2. Aufl. 2014, N. 9c und 9e zu Art. 396 StPO).</w:t>
      </w:r>
    </w:p>
    <w:p>
      <w:r>
        <w:rPr>
          <w:b/>
        </w:rPr>
        <w:t>E. 1.2.2</w:t>
      </w:r>
    </w:p>
    <w:p>
      <w:r>
        <w:t>Der Beschwerdeführer begründete seine Eingabe vom 22. Juli 2022 nicht. Er führte einzig aus, dass er gegen den Strafbefehl fristgerecht Einsprache erhebe. Bei der Verfügung der Staatsanwaltschaft Muri-Bremgarten vom</w:t>
      </w:r>
    </w:p>
    <w:p>
      <w:r>
        <w:rPr>
          <w:b/>
        </w:rPr>
        <w:t>E. 6</w:t>
      </w:r>
    </w:p>
    <w:p>
      <w:r>
        <w:t>Juli 2022 handelt es sich aber offenkundig nicht um einen Strafbefehl, gegen welchen sich die betroffene Person mit einer Einsprache zur Wehr setzen kann. Sowohl aus der Begründung als auch dem Dispositiv ergibt sich hinreichend klar, dass die Staatsanwaltschaft Muri-Bremgarten auf- grund der Rückzugserklärung des Beschwerdeführers vom 4. Juli 2022 (Postaufgabe) die Rechtskraft des Strafbefehls vom 1. März 2022 fest- stellte. Als Rechtsmittel wird denn auch die Beschwerde aufgeführt und nicht etwa auf die Einsprache gemäss Art. 354 StPO hingewiesen. Die vom Beschwerdeführer gegen die Verfügung der Staatsanwaltschaft Muri-Bremgarten vom 6. Juli 2022 erhobene "Einsprache" ist folglich als Beschwerde entgegen zu nehmen, wobei darauf mangels jeglicher Begrün- dung grundsätzlich nicht einzutreten (E. 1.2.1 hievor) und die erst am 24. November 2022 erfolgte Begründung wegen Verspätung aus dem Recht zu weisen wäre. Indes erfolgte diese Begründung gestützt auf die</w:t>
      </w:r>
    </w:p>
    <w:p>
      <w:r>
        <w:t>- 5 - Verfügung des Präsidenten des Bezirksgerichts Bremgarten vom 17. No- vember 2022, weshalb sie in Nachachtung des Grundsatzes von Treu und Glauben (Art. 3 Abs. 2 lit. a StPO) trotz Verspätung zuzulassen, folglich auf die als Beschwerde entgegenzunehmende Einsprache vom 22. Juli 2022 einzutreten ist. 2. 2.1. Der Beschwerdeführer begründet in der Eingabe vom 24. November 2022 seine erneut erhobene Einsprache damit, dass es durch einen Kommuni- kationsfehler mit seiner Rechtsschutzversicherung zu einem "falschen" Rückzug der Einsprache gekommen sei. Darum habe er privat Einspruch erhoben. 2.2. Wer ein Rechtsmittel ergriffen hat, kann dieses zurückziehen. Der Rückzug der Einsprache gegen einen Strafbefehl (Art. 354 StPO) ist endgültig, es sei denn, die Partei sei durch Täuschung, eine Straftat oder eine unrichtige behördliche Auskunft zu ihrer Erklärung veranlasst worden (Art. 386 Abs. 3 StPO; Urteil des Bundesgerichts 6B_817/2016 vom 16. August 2016 E. 2 m.w.H.). Dem Strafbefehl vom 1. März 2022 lässt sich u.a. entnehmen, dass der Strafbefehl ohne gültige Einsprache zum rechtskräftigen und vollstreckba- ren Urteil wird. Diese Rechtsfolge hatte der Beschwerdeführer auch ver- standen, führte er in seiner Rückzugserklärung vom 4. Juli 2022 (Postauf- gabe) doch aus, dass er "den Betrag von CHF 900.- entsprechend" be- zahle. Der Beschwerdeführer macht nun geltend, dass es wegen eines Kommu- nikationsfehlers mit seiner Rechtsschutzversicherung zu einem "falschen" Rückzug der Einsprache gekommen sei. Gestützt auf diese Ausführung ist davon auszugehen, dass er geltend machen will, sich in einem Irrtum be- funden zu haben. Ob dies zutrifft, kann nicht beurteilt werden, nachdem der Beschwerdeführer es unterlässt, den angeblichen Kommunikationsfehler näher darzulegen. Dies ist aber auch nicht weiter von Belang. Ein Irrtum ist noch keine Täuschung gemäss Art. 386 Abs. 3 StPO (Urteil des Bundes- gerichts 6B_1184/2014 vom 12. Januar 2015 E. 3). Dass er von der Rechts- schutzversicherung getäuscht worden sein soll, wird von ihm nicht behaup- tet. Sollte er mit dem Kommunikationsfehler eine unrichtige Auskunft be- haupten wollen, würde auch dies nichts helfen, nachdem Art. 386 Abs. 3 StPO ausdrücklich nur vor unrichtigen behördlichen Auskünften schützt. 2.3. Die als Beschwerde entgegenzunehmende Einsprache vom 22. Juli 2022 ist somit abzuweisen.</w:t>
      </w:r>
    </w:p>
    <w:p>
      <w:r>
        <w:t>- 6 - 3. Bei diesem Ausgang sind die Kosten des Beschwerdeverfahrens dem Be- schwerdeführer aufzuerlegen (Art. 428 Abs. 1 StPO) und es ist ihm keine Entschädigung auszurichten. Die Beschwerdekammer entscheidet: 1. Die Beschwerde wird abgewiesen. 2. Die Kosten des Beschwerdeverfahrens, bestehend aus einer Gerichtsge- bühr von Fr. 300.00 sowie den Auslagen von Fr. 30.00, zusammen Fr. 330.00,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- 7 - Aarau, 8. März 2023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