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SBK.2023.59 vom 6. März 2023</w:t>
      </w:r>
    </w:p>
    <w:p>
      <w:r>
        <w:t>Ag Strafgericht, 2023-03-06, DE</w:t>
      </w:r>
    </w:p>
    <w:p>
      <w:r>
        <w:rPr>
          <w:b/>
        </w:rPr>
        <w:t xml:space="preserve">Quelle: </w:t>
      </w:r>
      <w:r>
        <w:t>https://mcp.opencaselaw.ch/entscheid/ag_strafgericht_SBK.2023.59</w:t>
      </w:r>
    </w:p>
    <w:p>
      <w:r>
        <w:t>FR: AG_STRAFGERICHT SBK.2023.59 du 6 mars 2023</w:t>
      </w:r>
    </w:p>
    <w:p>
      <w:r>
        <w:t>IT: AG_STRAFGERICHT SBK.2023.59 del 6 marzo 2023</w:t>
      </w:r>
    </w:p>
    <w:p>
      <w:pPr>
        <w:pStyle w:val="Heading2"/>
      </w:pPr>
      <w:r>
        <w:t>Erwägungen</w:t>
      </w:r>
    </w:p>
    <w:p>
      <w:r>
        <w:rPr>
          <w:b/>
        </w:rPr>
        <w:t>E. 1</w:t>
      </w:r>
    </w:p>
    <w:p>
      <w:r>
        <w:t>Der Beschwerdeführer als verhaftete Person ist berechtigt, die Verfügung des Zwangsmassnahmengerichts des Kantons Aargau (fortan: Vorinstanz) vom 31. Januar 2023 mit Beschwerde anzufechten (Art. 222 StPO; Art. 393 Abs. 1 lit. c StPO). Auf seine frist- (Art. 396 Abs. 1 StPO) und formgerecht (Art. 385 Abs. 1 StPO) erhobene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w:t>
      </w:r>
    </w:p>
    <w:p>
      <w:r>
        <w:rPr>
          <w:b/>
        </w:rPr>
        <w:t>E. 3.1</w:t>
      </w:r>
    </w:p>
    <w:p>
      <w:r>
        <w:t>Die Vorinstanz prüfte hinsichtlich der im Antrag auf Anordnung einer Mass- nahme gemäss Art. 374 StPO dargelegten Delikte einen dringenden Tat- verdacht nicht mehr und verwies diesbezüglich auf das Urteil des Bundes- gerichts 1B_422/2011 vom 6. September 2011 E. 3.2.</w:t>
      </w:r>
    </w:p>
    <w:p>
      <w:r>
        <w:rPr>
          <w:b/>
        </w:rPr>
        <w:t>E. 3.2</w:t>
      </w:r>
    </w:p>
    <w:p>
      <w:r>
        <w:t>Ist gegen eine beschuldigte Person Anklage erhoben worden oder wurde sie bereits (erstinstanzlich) verurteilt, ist in der Regel davon auszugehen, dass ein dringender Tatverdacht vorliegt. Eine Ausnahme läge dann vor, wenn die beschuldigte Person im Haftprüfungs- oder im Haftbeschwerde- verfahren darzutun vermöchte, dass die Annahme eines dringenden Tat- verdachts unhaltbar ist (vgl. statt vieler Urteil des Bundesgerichts 1B_283/2016 vom 26. August 2016 E. 3). Ein Antrag auf Anordnung einer</w:t>
      </w:r>
    </w:p>
    <w:p>
      <w:r>
        <w:t>- 5 - Massnahme gemäss Art. 374 StPO ist der Anklageerhebung gleichzustel- len (vgl. Entscheid der Beschwerdekammer in Strafsachen des Oberge- richts Aargau SBK.2022.70 vom 11. März 2022 E. 3).</w:t>
      </w:r>
    </w:p>
    <w:p>
      <w:r>
        <w:rPr>
          <w:b/>
        </w:rPr>
        <w:t>E. 3.3</w:t>
      </w:r>
    </w:p>
    <w:p>
      <w:r>
        <w:t>Ein solcher Ausnahmefall ist – wie die Vorinstanz zutreffend erkannt hat – nicht gegeben. Es liegen genügend konkrete Anhaltspunkte für die vom Beschwerdeführer mutmasslich begangenen Straftaten vor. Die Staatsan- waltschaft Muri-Bremgarten hat am 26. Januar 2023 beim Bezirksgericht Muri einen Antrag auf Anordnung einer Massnahme gemäss Art. 374 ff. StPO gestellt (Antrag auf Anordnung einer Massnahme gemäss Art. 374 ff. StPO vom 26. Januar 2023, HA.2023.46 act. 6 ff.). Dabei legt die Staats- anwaltschaft Muri-Bremgarten insbesondere nachvollziehbar einen drin- genden Tatverdacht gegen den Beschwerdeführer betreffend die mehrfa- che (teilweise versuchte) Drohung dar (vgl. Antrag auf Anordnung einer Massnahme gemäss Art. 374 ff. StPO vom 26. Januar 2023, HA.2023.46 act. 8 ff.). Da zur Frage des dringenden Tatverdachtes bzw. zur Schuld- frage alsdann weder ein eigentliches Beweisverfahren durchzuführen noch dem erkennenden Strafrichter vorzugreifen ist (vgl. BGE 143 IV 330 E. 2.1 mit Hinweisen) und sich auch die Vorinstanz in den verschiedenen Haftver- fahren (vgl. Prozessgeschichte E. 1.2 hiervor) mit dieser Voraussetzung ausführlich auseinandergesetzt hat, erübrigen sich grundsätzlich hierzu weitere Ausführungen. Dies umso mehr, als der Beschwerdeführer mit Be- schwerde vom 13. Februar 2023 das Vorliegen eines dringenden Tatver- dachts ohne Begründung pauschal bestreitet (vgl. Beschwerde, S. 3) und sich auch aus den Unterlagen, auf die er mit Stellungnahme vom 30. Ja- nuar 2023 zum Antrag auf Anordnung von Sicherheitshaft der Staatsan- waltschaft Muri-Bremgarten vom 26. Januar 2023 verweist, nichts ergibt, was die Annahme eines dringenden Tatverdachts unhaltbar macht. Der blosse Verweis auf Ausführungen in anderen Rechtsschriften oder auf die Akten reicht per se ohnehin nicht aus (vgl. statt vieler Urteil des Bundesge- richts 4A_578/2022 vom 13. Januar 2023 E. 2.1). Der Beschwerdeführer hat einerseits auf seine schriftliche Eingabe vom 31. Oktober 2022 im Ver- fahren HA.2022.494 sowie andererseits auf seine mündliche Stellung- nahme im Rahmen der ZMG-Verhandlung vom 8. Dezember 2022 (Verfah- ren HA.2022.562) verwiesen. Mit Eingabe vom 31. Oktober 2022 bestreitet der Beschwerdeführer den dringenden Tatverdacht betreffend die ihm vor- geworfenen Delikte, welche die Anordnung der Untersuchungshaft recht- fertigten (HA.2022.494 act. 270), ebenfalls lediglich pauschal bzw. mit Hin- weis auf seinen Vortrag vor Gericht. Anlässlich der Haftverhandlung vom</w:t>
      </w:r>
    </w:p>
    <w:p>
      <w:r>
        <w:rPr>
          <w:b/>
        </w:rPr>
        <w:t>E. 8</w:t>
      </w:r>
    </w:p>
    <w:p>
      <w:r>
        <w:t>Dezember 2022 (HA.2022.562 act. 88) vorgebrachte Einwand des Be- schwerdeführers als unzutreffend, seine Ehefrau habe auch zu keinem Zeitpunkt sagen können, welche Nachricht bei ihr dann überhaupt Angst und Schrecken hervorgerufen habe. Vielmehr ist mit Blick auf die vorste- henden Ausführungen davon auszugehen, dass weitere Drohungen unter</w:t>
      </w:r>
    </w:p>
    <w:p>
      <w:r>
        <w:t>- 11 - diesen Umständen ihre Sicherheitslage erheblich beeinträchtigen (vgl. Ur- teil des Bundesgerichts 1B_376/2018 vom 28. August 2018 E. 6.2 mit Hin- weis auf BGE 143 IV 9 E. 2.7 und Urteil des Bundesgerichts 1B_238/2012 vom 16. Mai 2012 E. 2.4.2). Dies gilt umso mehr, als gemäss der Gutach- ten vom 20. Januar 2022 (HA.2022.28 act. 46) und vom 17. Mai 2022 (HA.2022.351 act. 87 E. 5.6) ohne Behandlung der diagnostizierten Stö- rung des Beschwerdeführers von einer erhöhten Ausführungsgefahr seiner Drohungen auszugehen ist. 4.1.7. Zusammenfassend ist daher mit der Vorinstanz Wiederholungsgefahr zu bejahen. 4.2. Die Vorinstanz bejahte weiter sowohl das Bestehen der Ausführungs- als auch der Fluchtgefahr (angefochtene Verfügung, E. 5), was der Beschwer- deführer bestreitet (Beschwerde, S. 4 ff. und S. 18 ff.). Weitere Haftgründe brauchen jedoch nicht geprüft zu werden, nachdem vorliegend Wiederho- lungsgefahr besteht und das Vorliegen eines besonderen Haftgrundes im Sinne von Art. 221 StPO ausreichend ist (Urteil des Bundesgerichts 1B_142/2021 vom 15. April 2021 E. 4.4). 4.3. 4.3.1. Die Vorinstanz führte sodann aus, sie habe sich bereits in den Haftverfü- gungen vom 3. November 2022 (HA.2022.494) sowie 8. Dezember 2022 (HA.2022.562) eingehend mit der Verhältnismässigkeit und dem Beschleu- nigungsgebot befasst, worauf verwiesen werde. Eine mildere Massnahme i.S.v. von Art. 237 StPO vermöge im vorliegenden Fall den Zweck der Haft, namentlich die Ausführungs-, Wiederholungs- und Fluchtgefahr, nicht aus- reichend zu gewährleisten. Der Beschwerdeführer sei bis anhin weder krankheits- noch behandlungseinsichtig. Das Bezirksgericht Muri habe – im Rahmen des Verfahrens HA.2022.562 – am 8. Dezember 2022 mitgeteilt, dass bei Eingang der Anklage bis und mit März 2023, wohl in der zweiten Hälfte Mai 2023 verhandelt werden könne. Der Antrag auf Sicherheitshaft sei daher einstweilen um drei Monate bis zum 26. April 2023 gutzuheissen. 4.3.2. In Bezug auf die Verhältnismässigkeit der Sicherheitshaft bringt der Be- schwerdeführer betreffend die Wiederholungsgefahr im Wesentlichen vor, dieser könne mit der milderen Massnahme eines Kontaktverbots (zur Ehe- frau) begegnet werden (Beschwerde, S. 21 Rz. 2). Ein solches Kontaktver- bot bestehe gemäss Entscheid des Zivilgerichts Basel-Stadt vom 27. De- zember 2021 bereits. Er habe sich an dieses Kontaktverbot gehalten und werde dies auch in Freiheit weiterhin tun (Beschwerde, S. 17 Rz. 2.7). Zu- dem sei er bereit, sich einer ambulanten Massnahme nach Art. 63 StGB im</w:t>
      </w:r>
    </w:p>
    <w:p>
      <w:r>
        <w:t>- 12 - Sinne einer Ersatzmassnahme zur Haft zu unterziehen (Beschwerde, S. 21 f. Rz. 3). 4.3.3.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 Der Wiederholungsgefahr kann insbesondere mit der Auflage, sich nur oder sich nicht an einem bestimmten Ort oder in einem bestimmten Haus aufzu- halten (Art. 237 Abs. 2 lit. c StPO) entgegengewirkt werden. Zur Überwa- chung der Ein- oder Ausgrenzung kann nach Art. 237 Abs. 3 StPO der Ein- satz technischer Geräte und deren feste Verbindung mit der zu überwa- chenden Person (sog. "Electronic Monitoring") angeordnet werden (HÄRRI, in: Basler Kommentar, Schweizerische Strafprozessordnung, 2. Aufl. 2014, Rz. 11 f. zu Art. 237 StPO). Zur Herabsetzung der Wiederholungsgefahr kommt insbesondere bei einer Suchtproblematik auch die Auflage, sich ei- ner ärztlichen Behandlung oder einer Kontrolle zu unterziehen (Art. 237 Abs. 2 lit. f StPO), in Frage (HÄRRI, a.a.O., Rz. 24 zu Art. 237 StPO). 4.3.4. Die vom Beschwerdeführer vorgeschlagenen Ersatzmassnahmen kommen vorliegend nicht in Frage. Vorab könnte mit der vorgeschlagenen ambulan- ten Therapie der Wiederholungsgefahr nicht ausreichend entgegengewirkt werden. Dr. med. C., Facharzt für Psychiatrie und Psychotherapie FMH, erachtet eine stationäre forensisch-psychiatrische Behandlung ausdrück- lich als angezeigt (Gutachten vom 17. Mai 2022, HA.2022.351 act. 91 Frage 5.2). Dies insbesondere, weil aus der gut dokumentierten und lang- jährigen Vorgeschichte ersichtlich werde, dass der Beschwerdeführer grundsätzlich weder krankheits- noch behandlungseinsichtig sei. Daran seien bisherige Therapiebemühungen jeweils nach kurzer Behandlungs- dauer gescheitert, "sodass eine ambulante Behandlung nicht erfolgsver- sprechend" erscheine. Nach Ansicht des Gutachters ist daher "nur eine sta- tionäre Behandlung geeignet, der Gefahr weiterer Straftaten zu begegnen" (HA.2022.351 act. 92 Frage 5.4). Diese Ansicht teilte auch Dr. med. D., Fachärztin für Psychiatrie und Psychotherapie FMH, behandelnde Ärztin des Beschwerdeführers im Zentralgefängnis Lenzburg, indem sie mit Schreiben vom 9. Juni 2022 ausführte, es wäre aus ihrer "persönlichen,</w:t>
      </w:r>
    </w:p>
    <w:p>
      <w:r>
        <w:t>- 13 - fachärztlich psychiatrischen Sicht eine Behandlung der psychischen Stö- rung des Patienten im stationären Rahmen einer psychiatrischen Klinik in- diziert" (HA.2022.351 act. 104). Auch die vom Beschwerdeführer eventua- liter beantragten Ersatzmassnahmen – namentlich ein Kontaktverbot oder ein "Electronic Monitoring" (Beschwerde, S. 21 Rz. 2 ff.) – vermögen vor- liegend nicht den gleichen Zweck wie die Haft zu erfüllen. Weder ein Kon- taktverbot noch ein "Electronic Monitoring" können den Beschwerdeführer von weiteren Drohungen gegen Leib und Leben seiner Ehefrau abhalten. Letztere gab denn auch zu Protokoll, bei einer Entlassung des Beschwer- deführers aus der Haft "könnte etwas Schlimmes passieren", wenn er sie finde (HA.2021.600 act. 52 Frage 101). Demnach geht die Ehefrau des Be- schwerdeführers bei einer Haftentlassung gar von der Ausführung der an- gedrohten Taten aus. Da aufgrund des Gutachtens eine erneute Delin- quenz des Beschwerdeführers in Bezug auf Drohungen gegen Leib und Leben ernsthaft zu befürchten ist (vgl. E. 4.1.5 hiervor), ist insbesondere mit Blick auf die beschriebene Befürchtung der Ehefrau des Beschwerde- führers davon auszugehen, dass erneute Drohungen deren Sicherheits- lage wiederum erheblich beeinträchtigten würden. Dies daher, weil sie bei einer Haftentlassung des Beschwerdeführers – trotz eines Kontaktverbots oder eines "Electronic Monitoring" – immer damit rechnen müsste, dass der Beschwerdeführer sie findet und ihr tatsächlich etwas antut. 4.3.5. Der Beschwerdeführer befindet sich seit dem 28. Oktober 2021 in Haft. An- gesichts der von der Staatsanwaltschaft Muri-Bremgarten beantragten sta- tionären therapeutischen Massnahme gemäss Art. 59 StGB mit einer Höchstdauer von fünf Jahren erscheint die von der Vorinstanz bis am 26. April 2023 angeordnete Sicherheitshaft verhältnismässig. Es droht keine Überhaft, da aufgrund der Aktenlage mit einer freiheitsentziehenden Massnahme ernsthaft zu rechnen ist, deren gesamter Vollzug deutlich län- ger dauern könnte als die bisherige strafprozessuale Haft (Urteil des Bun- desgerichts 1B_377/2022 vom 15. August 2022 E. 8.1.3 mit Hinweis auf BGE 126 I 172 E. 5e und weitere Urteile des Bundesgerichts). Gemäss E. 6.2 der vorinstanzlichen Verfügung vom 31. Januar 2023 soll die erstin- stanzliche Hauptverhandlung im Übrigen bereits in der zweiten Hälfte Mai 2023 stattfinden. 5. Zusammengefasst ist nicht zu beanstanden, dass die Vorinstanz mit Ver- fügung vom 31. Januar 2023 die Sicherheitshaft bis zum 26. April 2023 an- geordnet hat. Die Beschwerde ist deshalb abzuweisen.</w:t>
      </w:r>
    </w:p>
    <w:p>
      <w:r>
        <w:t>- 14 - 6. Die Kosten des Rechtsmittelverfahrens tragen die Parteien nach Massgabe des Obsiegens oder Unterliegens (Art. 428 Abs. 1 StPO), weshalb die Kos- ten dieses Beschwerdeverfahrens dem unterliegenden Beschwerdeführer aufzuerlegen sind. Die Beschwerdekammer entscheidet: 1. Die Beschwerde wird abgewiesen. 2. Die Kosten des Beschwerdeverfahrens, bestehend aus einer Gerichtsge- bühr von Fr. 1'000.00 und den Auslagen von Fr. 69.00, zusammen Fr. 1'069.00,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- 15 - Aarau, 6. März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