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SBK.2023.273 vom 22. November 2023</w:t>
      </w:r>
    </w:p>
    <w:p>
      <w:r>
        <w:t>Ag Strafgericht, 2023-11-22, DE</w:t>
      </w:r>
    </w:p>
    <w:p>
      <w:r>
        <w:rPr>
          <w:b/>
        </w:rPr>
        <w:t xml:space="preserve">Quelle: </w:t>
      </w:r>
      <w:r>
        <w:t>https://mcp.opencaselaw.ch/entscheid/ag_strafgericht_SBK.2023.273</w:t>
      </w:r>
    </w:p>
    <w:p>
      <w:r>
        <w:t>FR: AG_STRAFGERICHT SBK.2023.273 du 22 novembre 2023</w:t>
      </w:r>
    </w:p>
    <w:p>
      <w:r>
        <w:t>IT: AG_STRAFGERICHT SBK.2023.273 del 22 novembre 2023</w:t>
      </w:r>
    </w:p>
    <w:p>
      <w:pPr>
        <w:pStyle w:val="Heading2"/>
      </w:pPr>
      <w:r>
        <w:t>Erwägungen</w:t>
      </w:r>
    </w:p>
    <w:p>
      <w:r>
        <w:rPr>
          <w:b/>
        </w:rPr>
        <w:t>E. 1</w:t>
      </w:r>
    </w:p>
    <w:p>
      <w:r>
        <w:t>Die Beschwerde richtet sich gegen den von der Staatsanwaltschaft Zofin- gen-Kulm am 4. September 2023 erlassenen Durchsuchungs- und Be- schlagnahmebefehl, in welchem sie die Durchsuchung der Liegenschaft an der QR-Strasse in R._____ sowie eine Beweismittel- und Restitutionsbe- schlagnahme verschiedenen Diebesguts anordnete. Die entsprechende Durchsuchung bzw. Beschlagnahme wurde allerdings ausweislich der Ak- ten bislang nicht durchgeführt. Da die angeordnete Zwangsmassnahme ge- genüber dem Adressaten zu diesem Zeitpunkt (noch) keine konkrete Wir- kung zeitigt, erscheint zumindest fraglich, ob es sich bei der entsprechen- den Verfügung in diesem Verfahrensstadium um ein taugliches Anfech- tungsobjekt i.S.v. Art. 393 Abs. 1 lit. a StPO handelt. Wie es sich damit abschliessend verhält, kann an dieser Stelle allerdings offenbleiben, da, wie noch zu zeigen sein wird, auf die Beschwerde mangels Beschwerdele- gitimation des Beschwerdeführers ohnehin nicht einzutreten ist.</w:t>
      </w:r>
    </w:p>
    <w:p>
      <w:r>
        <w:rPr>
          <w:b/>
        </w:rPr>
        <w:t>E. 2.1</w:t>
      </w:r>
    </w:p>
    <w:p>
      <w:r>
        <w:t>Gemäss Art. 382 Abs. 1 StPO kann jede Partei, die ein rechtlich geschütz- tes Interesse an der Aufhebung oder Änderung eines Entscheids hat, ein Rechtsmittel ergreifen. Auch der Beschuldigte bedarf für die Legitimation zur Beschwerde eines rechtlich geschützten Interesses an der Aufhebung oder Änderung eines Entscheides im Sinne von Art. 382 Abs. 1 StPO. Ver- langt wird, dass der Beschuldigte durch den angefochtenen Entscheid un- mittelbar in seinen Rechten betroffen ist; eine bloss mittelbare oder fakti- sche Betroffenheit (Reflexwirkung) ist nicht ausreichend (vgl. BÄHLER, in: Basler Kommentar, Schweizerische Strafprozessordnung, 3. Aufl. 2023, N. 5 zu Art. 382 StPO). Richtet sich eine Zwangsmassnahme gegen eine Drittperson, gilt diese als durch die Verfahrenshandlung unmittelbar be- schwert (vgl. KÜFFER, in: Basler Kommentar, Schweizerische Strafprozess- ordnung, 3. Aufl. 2023, N. 28 zu Art. 105 StPO). Folglich ist der Beschul- digte bei Beschlagnahmen bei Dritten grundsätzlich nicht beschwert (vgl. GUIDON, Die Beschwerde gemäss Schweizerischer Strafprozessord- nung, Rz. 252 ff.).</w:t>
      </w:r>
    </w:p>
    <w:p>
      <w:r>
        <w:rPr>
          <w:b/>
        </w:rPr>
        <w:t>E. 2.2</w:t>
      </w:r>
    </w:p>
    <w:p>
      <w:r>
        <w:t>Der Beschwerdeführer führt in seiner Beschwerde vom 14. September 2023 und in seiner Eingabe vom 11. Oktober 2023 aus, dass die im Durch- suchungs- und Beschlagnahmebefehl vom 4. September 2023 aufgeführte Liegenschaft an der QR-Strasse in R._____ im Alleineigentum von H._____, der Mutter von I._____ (Freundin des Beschwerdeführers), stehe. I._____ pflege dort täglich ihre schwer erkrankte Mutter, sei an der QR- Strasse jedoch weder gemeldet noch wohnhaft. Seit Beginn der Beziehung zu I._____ sei er selbst mit wenigen Ausnahmen nie in der entsprechenden</w:t>
      </w:r>
    </w:p>
    <w:p>
      <w:r>
        <w:t>- 4 - Liegenschaft gewesen, da H._____ keine fremden Personen in ihrer Woh- nung wolle. Es sei zwar richtig, dass er seine Post aus dem Gefängnis an die Adresse der QR-Strasse sende, wenn er seine Freundin kontaktiere. Dies tue er aber aus dem Grund, dass I._____ zur Pflege der Mutter täglich dort sei, momentan regelmässig bei ihr nächtige und auch den Briefkasten leere. Er habe zu keinem Zeitpunkt einen Aufenthaltsort an der QR-Strasse in R._____ gehabt. Eine Durchsuchung der Liegenschaft an dieser Adresse stelle einen gravierenden Eingriff in das Eigentum einer Drittperson dar, welche mit der Angelegenheit und dem Beschwerdeführer überhaupt nichts zu tun habe (vgl. Beschwerde S. 4 ff.).</w:t>
      </w:r>
    </w:p>
    <w:p>
      <w:r>
        <w:rPr>
          <w:b/>
        </w:rPr>
        <w:t>E. 2.3</w:t>
      </w:r>
    </w:p>
    <w:p>
      <w:r>
        <w:t>Der Beschwerdeführer macht in seiner Beschwerde gegen den von der Staatsanwaltschaft Zofingen-Kulm am 4. September 2023 erlassenen Durchsuchungs- und Beschlagnahmebefehl ausschliesslich Interessen von H._____, der Eigentümerin der Liegenschaft an der QR-Strasse in R._____, geltend. So bezieht er sich in seinen Eingaben insbesondere auf den Umstand, dass H._____ eine betagte Frau sei, welche weder mit ihm noch mit der Strafuntersuchung etwas zu tun habe. Eine Durchsuchung der Liegenschaft greife damit in unzumutbarer Weise in die Eigentumsrechte von H._____ ein. Diesbezüglich ist darauf hinzuweisen, dass die Hausbe- rechtigte H._____ – sollte die Staatsanwaltschaft Zofingen-Kulm die am 4. September 2023 angeordnete Durchsuchung bzw. Beschlagnahme an der QR-Strasse in R._____ dereinst durchführen – als Adressatin der Zwangs- massnahme gälte und ihr die entsprechenden Verfahrensrechte als be- schwerte Dritte zuständen (vgl. KÜFFER, in: Basler Kommentar, Schweize- rische Strafprozessordnung, 3. Aufl. 2023, N. 29 zu Art. 105 StPO). Eine unmittelbare Betroffenheit des Beschwerdeführers in seinen eigenen Rech- ten wird von ihm nicht dargetan und ist auch nicht ersichtlich. Eine bloss mittelbare Betroffenheit des Beschwerdeführers aufgrund der familiären Beziehung zwischen seiner Lebensgefährtin I._____ und H._____ reicht – wäre eine solche denn überhaupt anzunehmen – für das Vorliegen der Be- schwer i.S.v. Art. 382 Abs. 1 StPO nicht aus. Damit ist der Beschwerdefüh- rer durch den Durchsuchungs- und Beschlagnahmebefehl der Staatsan- waltschaft Zofingen-Kulm vom 4. September 2023 nicht beschwert, wes- halb auf seine Beschwerde nicht einzutreten ist.</w:t>
      </w:r>
    </w:p>
    <w:p>
      <w:r>
        <w:rPr>
          <w:b/>
        </w:rPr>
        <w:t>E. 3</w:t>
      </w:r>
    </w:p>
    <w:p>
      <w:r>
        <w:t>Mit dem vorliegenden Entscheid wird der Antrag auf aufschiebende Wir- kung der Beschwerde gegenstandslos.</w:t>
      </w:r>
    </w:p>
    <w:p>
      <w:r>
        <w:rPr>
          <w:b/>
        </w:rPr>
        <w:t>E. 4.1</w:t>
      </w:r>
    </w:p>
    <w:p>
      <w:r>
        <w:t>Bei diesem Ausgang des Verfahrens sind die Kosten dem unterliegenden Beschwerdeführer aufzuerlegen (Art. 428 Abs. 1 StPO).</w:t>
      </w:r>
    </w:p>
    <w:p>
      <w:r>
        <w:t>- 5 -</w:t>
      </w:r>
    </w:p>
    <w:p>
      <w:r>
        <w:rPr>
          <w:b/>
        </w:rPr>
        <w:t>E. 4.2</w:t>
      </w:r>
    </w:p>
    <w:p>
      <w:r>
        <w:t>Die dem amtlichen Verteidiger des Beschwerdeführers für das vorliegende Beschwerdeverfahren auszurichtende Entschädigung ist am Ende des Strafverfahrens von der zuständigen Instanz festzulegen (Art. 135 Abs. 2 StPO). Die Beschwerdekammer entscheidet: 1. Auf die Beschwerde wird nicht eingetreten. 2. Die Kosten des Beschwerdeverfahrens, bestehend aus einer Gerichtsge- bühr von Fr. 600.00 und den Auslagen von Fr. 42.00, zusammen Fr. 642.00,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- 6 - Aarau, 22. November 2023 Obergericht des Kantons Aargau Beschwerdekammer in Strafsachen Der Präsident: Die Gerichtsschreiberin: Richli Flütsch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