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SBK.2023.208 vom 2. August 2023</w:t>
      </w:r>
    </w:p>
    <w:p>
      <w:r>
        <w:t>Ag Strafgericht, 2023-08-02, DE</w:t>
      </w:r>
    </w:p>
    <w:p>
      <w:r>
        <w:rPr>
          <w:b/>
        </w:rPr>
        <w:t xml:space="preserve">Quelle: </w:t>
      </w:r>
      <w:r>
        <w:t>https://mcp.opencaselaw.ch/entscheid/ag_strafgericht_SBK.2023.208</w:t>
      </w:r>
    </w:p>
    <w:p>
      <w:r>
        <w:t>FR: AG_STRAFGERICHT SBK.2023.208 du 2 août 2023</w:t>
      </w:r>
    </w:p>
    <w:p>
      <w:r>
        <w:t>IT: AG_STRAFGERICHT SBK.2023.208 del 2 agosto 2023</w:t>
      </w:r>
    </w:p>
    <w:p>
      <w:pPr>
        <w:pStyle w:val="Heading2"/>
      </w:pPr>
      <w:r>
        <w:t>Erwägungen</w:t>
      </w:r>
    </w:p>
    <w:p>
      <w:r>
        <w:rPr>
          <w:b/>
        </w:rPr>
        <w:t>E. 1</w:t>
      </w:r>
    </w:p>
    <w:p>
      <w:r>
        <w:t>Verfügungen erstinstanzlicher Gerichte sind – mit Ausnahme verfahrensleitender Entscheide – gemäss Art. 393 Abs. 1 lit. b StPO mit Beschwerde anfechtbar. Es liegen keine Beschwerdeausschlussgründe i.S.v. Art. 394 StPO vor. Die Beschwerde ist damit zulässig. Nachdem die übrigen Eintretensvoraussetzungen zu keinen Bemerkungen Anlass geben und erfüllt sind, ist auf die form- und fristgerecht erhobene Beschwerde einzutreten.</w:t>
      </w:r>
    </w:p>
    <w:p>
      <w:r>
        <w:rPr>
          <w:b/>
        </w:rPr>
        <w:t>E. 2.1</w:t>
      </w:r>
    </w:p>
    <w:p>
      <w:r>
        <w:t>Die Präsidentin des Bezirksgerichts Rheinfelden führte in der angefochtenen Verfügung zusammengefasst aus, dass der Strafbefehl vom 6. Dezember 2022 am 12. Dezember 2022 zu Abholung gemeldet worden sei. Die siebentägige Abholungsfrist habe am 19. Dezember 2022 geendet, womit die Einsprachefrist bis am 29. Dezember 2022 gelaufen sei. Der Beschwerdeführer sei anlässlich seiner Einvernahme vom</w:t>
      </w:r>
    </w:p>
    <w:p>
      <w:r>
        <w:rPr>
          <w:b/>
        </w:rPr>
        <w:t>E. 2.2</w:t>
      </w:r>
    </w:p>
    <w:p>
      <w:r>
        <w:t>Der Beschwerdeführer bringt dagegen im Wesentlichen vor, dass die Einsprachefrist durch die Eingabe vom 6. Januar 2023 unter den gegebenen Umständen gewahrt sei. Es stehe fest, dass der Beschwerdeführer am 24. Dezember 2022 unmittelbar nach Erhalt der Abholungseinladung bei der Post Rheinfelden und am 27. Dezember 2022 bei der Staatsanwaltschaft Rheinfelden-Laufenburg vorgesprochen habe, um den Strafbefehl entgegenzunehmen. Der Beschwerdeführer habe sämtliche prozessualen Pflichten erfüllt, um den Inhalt der Verfügung zu erfahren, nachdem er durch den Abholschein davon Kenntnis erhalten habe. Die Rechtsmittelfrist könne erst dann zu laufen beginnen, wenn die betroffene Person im Besitz aller für die erfolgreiche Wahrung ihrer Rechte wesentlichen Elemente sei. Es widerspreche dem Grundsatz von Treu und Glauben, die Zustellfiktion so auszulegen, dass es dem Betroffenen verwehrt werde, den von ihm verschuldeten Fehler, nämlich die Nichtmeldung von Ferien im Prozessrechtsverhältnis, durch eigenes Handeln wieder gut zu machen und sich während laufender Rechtsmittelfrist Kenntnis von der ihn belastenden Verfügung zu verschaffen. Die Anwendung der Zustellfiktion dürfe nicht zu Ergebnissen führen, die dem Verbot des überspitzten Formalismus und der "dienenden Form des Prozessrechts" widerspreche, was vorliegend aber der Fall sei. Es stehe fest, dass sich der Beschwerdeführer am 24. Dezember 2022 unmittelbar nach seiner Rückkehr aus den Ferien bei der Post um die Entgegennahme der Sendung bemüht habe. Der Strafbefehl vom</w:t>
      </w:r>
    </w:p>
    <w:p>
      <w:r>
        <w:rPr>
          <w:b/>
        </w:rPr>
        <w:t>E. 6</w:t>
      </w:r>
    </w:p>
    <w:p>
      <w:r>
        <w:t>Januar 2023 erhobene Einsprache verspätet erfolgte. Die angefochtene Verfügung ist damit nicht zu beanstanden und die Beschwerde abzuweisen. 4. 4.1. Der Beschwerdeführer ersuchte in seiner Beschwerde um Bewilligung der unentgeltlichen Rechtspflege für das vorinstanzliche Verfahren (bzw. moniert deren Nichtgewährung durch die Vorinstanz) und das Beschwerdeverfahren, womit er sinngemäss die Anordnung einer amtlichen Verteidigung beantragt. 4.2. Eine amtliche Verteidigung ist insbesondere anzuordnen, wenn die beschuldigte Person nicht über die erforderlichen Mittel verfügt und die Verteidigung zur Wahrung ihrer Interessen geboten ist (Art. 132 Abs. 1 lit. b StPO). Zur Wahrung der Interessen der beschuldigten Person ist die</w:t>
      </w:r>
    </w:p>
    <w:p>
      <w:r>
        <w:t>- 8 - Verteidigung namentlich geboten,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vier Monaten oder eine Geldstrafe von mehr als 120 Tagessätzen zu erwarten ist (Art. 132 Abs. 3 StPO). Der Beschwerdeführer wurde mit Strafbefehl der Staatsanwaltschaft Rheinfelden-Laufenburg vom 6. Dezember 2022 zu einer Geldstrafe von 60 Tagessätzen und einer Busse von Fr. 1'000.00 verurteilt, womit die Strafsache noch als Bagatellfall i.S.v. Art. 132 Abs. 2 StPO zu qualifizieren ist. Tatsächliche und rechtliche Schwierigkeiten lagen nicht vor, zumal der Beschwerdeführer den Tatvorwurf in tatsächlicher Hinsicht grundsätzlich eingestanden hat. 4.3. Selbst wenn eine amtliche Verteidigung anzuordnen gewesen wäre, beschränkt sich diese gemäss Urteil des Bundesgerichts 6B_758/2013 vom 11. November 2013 E. 3.2 auf die Beiordnung einer amtlichen Verteidigung (Art. 132 Abs. 1 lit. b StPO) und nicht auf die Befreiung von selber verursachten Verfahrenskosten. 5. Bei diesem Ausgang sind die Kosten des Beschwerdeverfahrens dem Beschwerdeführer aufzuerlegen (Art. 428 Abs. 1 StPO) und es ist ihm keine Entschädigung zuzusprechen. Die Beschwerdekammer entscheidet: 1. Die Beschwerde wird abgewiesen. 2. Das Gesuch des Beschwerdeführers um Anordnung der amtlichen Verteidigung wird abgewiesen, soweit darauf eingetreten wird. 3. Die Kosten des Beschwerdeverfahrens, bestehend aus einer Gerichtsgebühr von Fr. 800.00 und den Auslagen von Fr. 64.00, zusammen Fr. 864.00, werden dem Beschwerdeführer auferlegt.</w:t>
      </w:r>
    </w:p>
    <w:p>
      <w:r>
        <w:t>- 9 - Zustellung an: […] Rechtsmittelbelehrung für die Beschwerde in Strafsachen (Art. 78 ff., Art. 90 ff. BGG) Gegen Entscheide, die das Verfahren abschliessen, kann innert 30 Tagen, von der schriftlichen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Gutheissung der Beschwerde sofort einen Endentscheid herbeiführen und damit einen bedeutenden Aufwand an Zeit oder Kosten für ein weitläufiges Beweisverfahren ersparen würde (Art. 44 Abs. 1, Art. 78, Art. 90, Art. 93,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 August 2023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