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SBK.2023.18 vom 31. Januar 2023</w:t>
      </w:r>
    </w:p>
    <w:p>
      <w:r>
        <w:t>Ag Strafgericht, 2023-01-31, DE</w:t>
      </w:r>
    </w:p>
    <w:p>
      <w:r>
        <w:rPr>
          <w:b/>
        </w:rPr>
        <w:t xml:space="preserve">Quelle: </w:t>
      </w:r>
      <w:r>
        <w:t>https://mcp.opencaselaw.ch/entscheid/ag_strafgericht_SBK.2023.18</w:t>
      </w:r>
    </w:p>
    <w:p>
      <w:r>
        <w:t>FR: AG_STRAFGERICHT SBK.2023.18 du 31 janvier 2023</w:t>
      </w:r>
    </w:p>
    <w:p>
      <w:r>
        <w:t>IT: AG_STRAFGERICHT SBK.2023.18 del 31 gennaio 2023</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gemäss Art. 59 Abs. 1 lit. b StPO ohne weiteres Beweisverfahren und end- gültig die Beschwerdeinstanz, wenn die erstinstanzlichen Gerichte betrof- fen sind.</w:t>
      </w:r>
    </w:p>
    <w:p>
      <w:r>
        <w:rPr>
          <w:b/>
        </w:rPr>
        <w:t>E. 1.2</w:t>
      </w:r>
    </w:p>
    <w:p>
      <w:r>
        <w:t>Das Ausstandsgesuch stützt sich hier auf Art. 56 lit. f StPO und betrifft ein erstinstanzliches Gericht, womit für die Beurteilung des Gesuchs gemäss Art. 59 Abs. 1 lit. b StPO i.V.m. § 13 Abs. 1 EG StPO und § 10 sowie An- hang 1 Ziff. 2 Abs. 5 lit. b der Geschäftsordnung des Obergerichts des Kan- tons Aargau vom 21. November 2012 (GKA.155.200.3.101) die Beschwer- dekammer in Strafsachen des Obergerichts zuständig ist.</w:t>
      </w:r>
    </w:p>
    <w:p>
      <w:r>
        <w:rPr>
          <w:b/>
        </w:rPr>
        <w:t>E. 2.1</w:t>
      </w:r>
    </w:p>
    <w:p>
      <w:r>
        <w:t>Zu befinden ist über den einzig in Betracht fallenden Ausstandsgrund der Befangenheit "aus anderen Gründen" im Sinne der Auffangklausel von</w:t>
      </w:r>
    </w:p>
    <w:p>
      <w:r>
        <w:t>- 3 -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2.2</w:t>
      </w:r>
    </w:p>
    <w:p>
      <w:r>
        <w:t>Bei der Auslegung der Ausstandsregeln der StPO ist der Rechtsprechung zu Art. 30 Abs. 1 BV Rechnung zu tragen (MARKUS BOOG, in: Basler Kom- mentar, Schweizerische Strafprozessordnung, 2. Aufl. 2014, N. 1 der Vor- bemerkungen zu Art. 56 - 60 StPO). Nach Art. 30 Abs. 1 BV und Art. 6 Ziff. 1 EMRK hat jede Person Anspruch darauf, dass ihre Sache von einem durch Gesetz geschaffenen, zuständigen, unabhängigen und unpartei- ischen Gericht ohne Einwirken sachfremder Umstände entschieden wird. Dieser Anspruch ist verletzt, wenn bei einer Gerichtsperson – objektiv be- trachtet – Gegebenheiten vorliegen, die den Anschein der Befangenheit und die Gefahr der Voreingenommenheit zu begründen vermögen. Solche Umstände können entweder in einem bestimmten Verhalten der betreffen- den Person oder in äusseren Gegebenheiten funktioneller und organisato- rischer Natur begründet sein. Für den Ausstand wird nicht verlangt, dass der Richter tatsächlich befangen ist. Es genügt, wenn Umstände vorliegen, die bei objektiver Betrachtung den Anschein der Befangenheit und Vorein- genommenheit erwecken. Mit anderen Worten muss gewährleistet sein, dass der Prozess aus Sicht aller Beteiligten als offen erscheint (BGE 140 I 326 E. 5.1 mit Hinweisen; 144 I 234 E. 5.2). Auf das subjektive Empfinden einer Partei ist nicht abzustellen (BGE 144 I 234 E. 5.2 mit Hin- weisen).</w:t>
      </w:r>
    </w:p>
    <w:p>
      <w:r>
        <w:rPr>
          <w:b/>
        </w:rPr>
        <w:t>E. 2.3.1</w:t>
      </w:r>
    </w:p>
    <w:p>
      <w:r>
        <w:t>Das auf Art. 56 lit. f StPO gestützte Ausstandsgesuch begründet der Präsi- dent des Bezirksgerichts A. damit, dass sich die Präsidentinnen und der Präsident des Bezirksgerichts A. aufgrund der beruflichen und persönlichen Beziehung zum Zivil- und Strafkläger 2, G., der zugleich auch Einzelzeich- nungsberechtigter der Zivil- und Strafklägerin 1, H., sei, welcher bis am […] als Bezirksrichter am Bezirksgericht A. geamtet habe, als befangen erach- teten und fühlten.</w:t>
      </w:r>
    </w:p>
    <w:p>
      <w:r>
        <w:rPr>
          <w:b/>
        </w:rPr>
        <w:t>E. 2.3.2</w:t>
      </w:r>
    </w:p>
    <w:p>
      <w:r>
        <w:t>Die sich aus den dargelegten Umständen ergebende, berufsbedingte so- wie soziale Beziehungsnähe der Präsidentinnen und des Präsidenten des Bezirksgerichts A. mit dem Zivil- und Strafkläger 2 bzw. dem Präsidenten des Verwaltungsrats und Einzelzeichnungsberechtigten der Zivil- und Strafklägerin 1 ist offensichtlich und die entsprechenden Gegebenheiten führen dazu, dass die Präsidentinnen und der Präsident des Bezirksge- richts A. in der vorliegenden Strafsache nicht unbefangen tätig werden kön-</w:t>
      </w:r>
    </w:p>
    <w:p>
      <w:r>
        <w:t>- 4 - nen, so dass der objektive Anschein ihrer Befangenheit begründet ist. Dem- nach ist das Vorliegen des Ausstandsgrunds gemäss Art. 56 lit. f StPO zu bejahen und das Ausstandsgesuch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zuzustellen.</w:t>
      </w:r>
    </w:p>
    <w:p>
      <w:r>
        <w:rPr>
          <w:b/>
        </w:rPr>
        <w:t>E. 4</w:t>
      </w:r>
    </w:p>
    <w:p>
      <w:r>
        <w:t>Infolge Gutheissung des Ausstandsgesuchs sind die Kosten des vorliegen- den Verfahrens auf die Staatskasse zu nehmen (Art. 59 Abs. 4 StPO). Die Beschwerdekammer entscheidet: 1. Das vom Präsidenten des Bezirksgerichts A. im Namen der Präsidien des Bezirksgerichts A. für die Behandlung des Strafverfahrens gegen B. betref- fend Sachbeschädigung, Hausfriedensbruch, mehrfache versuchte Nöti- gung und mehrfache falsche Anschuldigung für das Strafgerichtspräsidium A. gestellte Ausstandsgesuch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- 5 -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Januar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