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SBK.2023.134 vom 21. September 2023</w:t>
      </w:r>
    </w:p>
    <w:p>
      <w:r>
        <w:t>Ag Strafgericht, 2023-09-21, DE</w:t>
      </w:r>
    </w:p>
    <w:p>
      <w:r>
        <w:rPr>
          <w:b/>
        </w:rPr>
        <w:t xml:space="preserve">Quelle: </w:t>
      </w:r>
      <w:r>
        <w:t>https://mcp.opencaselaw.ch/entscheid/ag_strafgericht_SBK.2023.134</w:t>
      </w:r>
    </w:p>
    <w:p>
      <w:r>
        <w:t>FR: AG_STRAFGERICHT SBK.2023.134 du 21 septembre 2023</w:t>
      </w:r>
    </w:p>
    <w:p>
      <w:r>
        <w:t>IT: AG_STRAFGERICHT SBK.2023.134 del 21 settembre 2023</w:t>
      </w:r>
    </w:p>
    <w:p>
      <w:pPr>
        <w:pStyle w:val="Heading2"/>
      </w:pPr>
      <w:r>
        <w:t>Erwägungen</w:t>
      </w:r>
    </w:p>
    <w:p>
      <w:r>
        <w:rPr>
          <w:b/>
        </w:rPr>
        <w:t>E. 1.1</w:t>
      </w:r>
    </w:p>
    <w:p>
      <w:r>
        <w:t>In teilweiser Gutheissung der Beschwerde wird Dispositiv-Ziffer 7 der Ein- stellungsverfügung der Staatsanwaltschaft Zofingen Kulm vom 30. März 2023 ersatzlos und Dispositiv-Ziffer 5 hinsichtlich der verweigerten Genug- tuung aufgehoben. Die Sache wird zur Festsetzung der Genugtuung an die Staatsanwaltschaft Zofingen-Kulm zurückgewiesen.</w:t>
      </w:r>
    </w:p>
    <w:p>
      <w:r>
        <w:rPr>
          <w:b/>
        </w:rPr>
        <w:t>E. 1.2</w:t>
      </w:r>
    </w:p>
    <w:p>
      <w:r>
        <w:t>Im Übrigen wird die Beschwerde abgewiesen, soweit darauf eingetreten wird.</w:t>
      </w:r>
    </w:p>
    <w:p>
      <w:r>
        <w:t>- 22 - 2. Die Kosten des Beschwerdeverfahrens, bestehend aus einer Gerichtsge- bühr von Fr. 1'000.00 und den Auslagen von Fr. 32.00, zusammen Fr. 1'032.00, werden zu 9/10, d.h. mit Fr. 928.80 dem Beschwerdeführer auferlegt und im Übrigen auf die Staatskasse genommen. 3. Die Obergerichtskasse wird angewiesen, dem amtlichen Verteidiger für das Beschwerdeverfahren eine Entschädigung von Fr. 200.00 (inkl. MWSt und Auslagen)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September 2023 Obergericht des Kantons Aargau Beschwerdekammer in Strafsachen Der Präsident: Die Gerichtsschreiberin: Richli Kabus</w:t>
      </w:r>
    </w:p>
    <w:p>
      <w:r>
        <w:rPr>
          <w:b/>
        </w:rPr>
        <w:t>E. 1.3.1</w:t>
      </w:r>
    </w:p>
    <w:p>
      <w:r>
        <w:t>Gemäss Art. 382 Abs. 1 StPO setzt die Legitimation einer Partei oder einer andern verfahrensbeteiligten Person zur Beschwerdeführung voraus, dass sie ein rechtlich geschütztes Interesse an der Aufhebung oder Änderung eines Entscheides hat, mit anderen Worten beschwert ist. Eine Beschwer ist nur dann zu bejahen bzw. gegeben, wenn der Beschwerdeführer selbst in seinen eigenen Rechten unmittelbar und direkt betroffen ist. Es fehlt an einem rechtlich geschützten Interesse und damit an einer Beschwer, wenn der Entscheid (nur) für andere nachteilig ist. Die Voraussetzung der unmit- telbaren Betroffenheit in eigenen Rechten grenzt von Fällen ab, in denen Personen bloss faktisch und nicht in einer eigenen Rechtsposition oder bloss mittelbar bzw. indirekt in ihren Rechten betroffen sind; die angefoch- tene hoheitliche Verfahrenshandlung muss mit anderen Worten einen di- rekten, sofort ersichtlichen Einfluss auf die eigene Rechtsstellung des Be- schwerdeführers (und somit auf seine rechtlich geschützten Interessen) ha- ben. Eine blosse Reflexwirkung genügt nicht. Nicht beschwerdelegitimiert ist deshalb beispielsweise das Mitglied, der Aktionär etc. einer juristischen Person, wenn Letztere von einer hoheitlichen Verfahrenshandlung betrof- fen ist (PATRICK GUIDON, Die Beschwerde gemäss Schweizerischer Straf- prozessordnung, 2011, N. 232f. und N. 235).</w:t>
      </w:r>
    </w:p>
    <w:p>
      <w:r>
        <w:rPr>
          <w:b/>
        </w:rPr>
        <w:t>E. 1.3.2.1</w:t>
      </w:r>
    </w:p>
    <w:p>
      <w:r>
        <w:t>Der Beschwerdeführer ist durch die Verweigerung der geltend gemachten Genugtuung sowie die angeordnete Rückforderung der Kosten für die amt- liche Verteidigung in seinen Rechten unmittelbar betroffen und somit zur Beschwerde legitimiert.</w:t>
      </w:r>
    </w:p>
    <w:p>
      <w:r>
        <w:t>- 6 -</w:t>
      </w:r>
    </w:p>
    <w:p>
      <w:r>
        <w:rPr>
          <w:b/>
        </w:rPr>
        <w:t>E. 1.3.2.2</w:t>
      </w:r>
    </w:p>
    <w:p>
      <w:r>
        <w:t>1.3.2.2.1. Mit Eingabe vom 27. Juni 2022 an die Staatsanwaltschaft Zofingen-Kulm machte der Beschwerdeführer geltend, er habe sich vom 29. März 2022 bis zum 29. April 2022 in Haft befunden und in dieser Zeit nicht arbeiten kön- nen. Er betreibe mit dem Mitbeschuldigten B._____ die H._____, welche im Transport- und Schlossereigewerbe tätig sei. Der Transportteil werde von beiden gemeinsam geführt. Die H._____ habe mit der K._____ am</w:t>
      </w:r>
    </w:p>
    <w:p>
      <w:r>
        <w:rPr>
          <w:b/>
        </w:rPr>
        <w:t>E. 1.3.3</w:t>
      </w:r>
    </w:p>
    <w:p>
      <w:r>
        <w:t>Auf die frist- und formgerecht erhobene Beschwerde (vgl. Art. 396 Abs. 1 i.V.m. Art. 385 Abs. 1 StPO) ist somit mit der vorstehend angebrachten Einschränkung einzutreten. 2. Die Staatsanwaltschaft Zofingen-Kulm nahm die Verfahrenskosten gestützt auf Art. 423 StPO auf die Staatskasse. In der Begründung hielt sie fest, dass die Entschädigung des amtlichen Verteidigers unter dem Vorbehalt der gesetzlichen Rückforderungsansprüche gemäss Art. 135 Abs. 4 i.V.m. Art. 426 Abs. 1 StPO erfolge. Die Entschädigung für die amtliche Verteidigung gehört gestützt auf Art. 422 Abs. 2 lit a StPO zu den Verfahrenskosten. Nachdem die Verfah- renskosten auf die Staatskasse genommen wurden, kann der Beschwer- deführer nicht zur Rückzahlung der Kosten für die amtliche Verteidigung (Art. 135 Abs. 4 StPO) verpflichtet werden. Die entsprechenden Ausführun- gen in der Einstellungsverfügung vom 30. März 2023 treffen, wie der Be- schwerdeführer zu Recht vorbringt, nicht zu. Dies hat auch die Staatsan- waltschaft Zofingen-Kulm mit Beschwerdeantwort erkannt. Dispositiv-Ziffer</w:t>
      </w:r>
    </w:p>
    <w:p>
      <w:r>
        <w:rPr>
          <w:b/>
        </w:rPr>
        <w:t>E. 6</w:t>
      </w:r>
    </w:p>
    <w:p>
      <w:r>
        <w:t>März 2022 einen Vertrag zur Warenbeförderung abgeschlossen, wobei ein monatliches Entgelt in Höhe von CZK 400'000.00 (Fr. 16'984.90) abge- macht worden sei. Die Inhaftierung habe zur Folge gehabt, dass die K._____ mit Schreiben vom 10. April 2022 vom Vertrag zurückgetreten sei. Daraus sei ein Schaden in Höhe von CZK 192'500.00 entstanden. Je Ge- schäftspartner belaufe sich der Schaden auf CZK 96'250.00 (Fr. 4'087.00). Überdies sei die monatliche Entschädigung bis Dezember 2022 entfallen. In diesem Zeitraum wäre ein Betrag von CZK 3'600'000.00 (Fr. 152'863.90) erwirtschaftet worden. Davon stünden dem Beschwerdeführer Fr. 76'431.45 zu. Insgesamt sei ein Schaden von Fr. 80'518.45 entstanden. Mit der K._____. hätten bereits vor diesem Vertragsverhältnis Geschäfts- beziehungen bestanden, was den Rechnungen vom Januar und Februar 2022 entnommen werden könne (Dossier Verschiedenes C2, ebenda, S. 3). Ferner hätten die H._____ und die G._____ am 1. Februar 2022 per 1. April 2022 bis zum 1. April 2023 einen einjährigen Vertrag zum Gütertransport abgeschlossen. Darin sei eine monatliche Entschädigung von CZK 200'000.00 (Fr. 8’492.45) vereinbart worden. Dieser Vertrag sei von der G._____ am 15. April 2022 gekündigt worden. Mit Schreiben vom 18. Mai 2022 habe diese zudem Schadenersatz in Höhe von CZK 135'000.00 (Fr. 5'732.40) geltend gemacht. Auf den Beschwerdefüh- rer entfalle die Hälfte davon, demnach Fr. 2'866.20. Der entgangene Ge- winn aufgrund der vorzeitigen Vertragskündigung betrage insgesamt Fr. 101'909.40, wovon Fr. 50'954.70 dem Beschwerdeführer zustünden. Der Gesamtschaden betrage Fr. 53'820.90 (Dossier Verschiedenes C2, ebenda, S. 3 f.). Des Weiteren führe der Beschwerdeführer mit E._____ die I._____. Hier- unter sei u.a. ein Barber Shop verpachtet. Der Shop sei aufgrund der Fest- nahme und damit verbundenen Abwesenheit des Beschwerdeführers ge- schlossen gewesen, wodurch Pachterträge im Wert von zweimal CZK 35'000.00 weggefallen seien. Als Belege seien die Rechnungen für die Vorjahresperiode (April 2021) eingereicht worden. Dem Beschwerde- führer sei ein Schaden von CZK 35'000.00 (Fr. 1'479.20) entstanden. Er habe ferner die Miete für die zwecks Verpachtung angemieteten Räumlich- keiten trotz Schliessung tragen müssen. Der Betrag belaufe sich auf insge- samt CZK 36'000.00, wobei wiederum die Hälfte, demnach CZK 18'000.00</w:t>
      </w:r>
    </w:p>
    <w:p>
      <w:r>
        <w:t>- 7 - (Fr. 760.75), bei ihm anzurechnen sei (Dossier Verschiedenes C2, ebenda, S. 4). 1.3.2.2.2. Dem übersetzten Auszug aus dem tschechischen Handelsregister vom 12. Mai 2022 lässt sich entnehmen, dass der Beschwerdeführer und der Beschuldigte B._____ Geschäftsführer und einzige Gesellschafter der H._____ sind. Bei dieser handelt es sich um eine Gesellschaft mit be- schränkter Haftung (Dossier Verschiedenes C2: Beilage 1 zur Eingabe des Beschwerdeführers vom 27. Juni 2022). Die H._____ und der Beschwerdeführer stellen zwei auseinanderzuhal- tende, eigenständige Rechtssubjekte dar. Der Beschwerdeführer und der Beschuldigte B._____ sind zwar gemäss Handelsregisterauszug einzige Gesellschafter und Geschäftsführer der GmbH, ihr Privatvermögen und dasjenige der Gesellschaft sind bei der rechtlichen Beurteilung jedoch streng auseinanderzuhalten. Dies wäre selbst so, wenn der Beschwerde- führer alleiniger Gesellschafter und Geschäftsführer der GmbH wäre (FRANZ SCHENKER, in: Basler Kommentar, Obligationenrecht II, 5. Aufl. 2016, N. 5c zu Art. 775 OR). Dies muss nicht nur im Zivilrecht, sondern auch im Strafrecht, bei der sich an zivilrechtlichen Gesichtspunkten orien- tierenden Bemessung der Entschädigung, Beachtung finden (vgl. für die Einpersonen-AG: BGE 141 IV 104 E. 3.2; 117 IV 259 E. 3b m.H.). Der Beschwerdeführer legte im Schreiben vom 27. Juni 2022 nicht dar, in- wiefern er durch die Einbussen der H._____ in eigenen Rechten unmittel- bar betroffen und somit zur Beschwerde legitimiert wäre. Dass die Gesell- schaft ihn in irgendeiner Form für den ihr entstanden Schaden belangt bzw. auf ihn Rückgriff genommen hätte, behauptet er nicht einmal (vgl. E. 1.3.2.2.1 hiervor). Dies ergibt sich im Übrigen auch nicht aus den Akten. Der Beschwerdeführer ist als natürliche Person strikt von der GmbH zu un- terscheiden. Er ist durch den bei der H._____ entstandenen Schaden nicht unmittelbar berührt, weshalb es ihm diesbezüglich an einem rechtlich ge- schützten Interesse an der Aufhebung oder Änderung der Einstellungsver- fügung mangelt. Aufgrund der fehlenden Beschwerdelegitimation ist hin- sichtlich der angeblich der H._____ entstandenen Entschädigungsansprü- che auf die Beschwerde nicht einzutreten (vgl. E. 1.3.1 hiervor). Dem teilweise übersetzten Auszug aus dem tschechischen Handelsregis- ter der I._____ vom 11. Mai 2022 lässt sich entnehmen, dass der Be- schwerdeführer zusammen mit E._____ deren Geschäftsführer sind und es sich bei ihr um eine Gesellschaft mit beschränkter Haftung handelt. Der Beschwerdeführer ist ihr Gesellschafter (Dossier Verschiedenes C2: Bei- lage 8 zur Eingabe des Beschwerdeführers vom 27. Juni 2022, S. 1). Vor- liegend kann grundsätzlich auf die vorstehenden Erwägungen betreffend</w:t>
      </w:r>
    </w:p>
    <w:p>
      <w:r>
        <w:t>- 8 - die H._____ verwiesen werden. Die I._____ und der Beschwerdeführer stellen zwei auseinanderzuhaltende, eigenständige Rechtssubjekte dar. Der Beschwerdeführer führte weder im Schreiben vom 27. Juni 2022 noch beschwerdeweise aus, dass er der Gesellschaft in irgendeiner Form für den ihr angeblich entstanden Schaden haften musste bzw. diese auf ihn Re- gress genommen hat. Auch aus den Akten ergibt sicher hierüber nichts. Damit ist weder dargetan, geschweige denn belegt, dass der Beschwerde- führer von dem der I._____ angeblich aufgrund seiner Inhaftierung entstan- denen Schaden unmittelbar betroffen ist. Dem Beschwerdeführer mangelt es diesbezüglich an der Beschwerdelegitimation, weshalb auf die Be- schwerde auch hinsichtlich der angeblich der I._____ entstandenen Ent- schädigungsansprüche nicht einzutreten ist (vgl. E. 1.3.1. hiervor). Dasselbe gilt bezüglich der geltend gemachten Auslagen für Dolmetscher- und Notariatskosten von Fr. 1'128.85, nachdem diese ebenfalls der H._____ angefallen sein sollen (Dossier Verschiedenes C2: Beilagen 13, 14a und b sowie 15 zur Eingabe vom 27. Juni 2022).</w:t>
      </w:r>
    </w:p>
    <w:p>
      <w:r>
        <w:rPr>
          <w:b/>
        </w:rPr>
        <w:t>E. 6.1</w:t>
      </w:r>
    </w:p>
    <w:p>
      <w:r>
        <w:t>Schliesslich steht im Streit, ob der Beschwerdeführer einen Anspruch auf Genugtuung für besonders schwere Verletzungen seiner persönlichen Ver- hältnisse, insbesondere bei Freiheitsentzug nach Art. 429 Abs. 1 lit. c StPO hat. Die Genugtuung kann herabgesetzt oder verweigert werden, wenn die beschuldigte Person rechtswidrig und schuldhaft die Einleitung des Verfah- rens bewirkt oder dessen Durchführung erschwert hat (Art. 430 Abs. 1 lit. a StPO).</w:t>
      </w:r>
    </w:p>
    <w:p>
      <w:r>
        <w:rPr>
          <w:b/>
        </w:rPr>
        <w:t>E. 6.2.1</w:t>
      </w:r>
    </w:p>
    <w:p>
      <w:r>
        <w:t>Mit Eingabe vom 27. Juni 2022 an die Staatsanwaltschaft Zofingen-Kulm beantragte der Beschwerdeführer, aufgrund seiner ungerechtfertigten In- haftierung von insgesamt 32 Tagen sei ihm eine Genugtuung von Fr. 250.00 je Hafttag, demnach insgesamt Fr. 8’000.00 zzgl. Zins zu 5 % seit dem 29. März 2022 (Haftbeginn) auszurichten. Aufgrund der Haft sei er psychisch krank geworden, und habe sich in psychologische Behand- lung begeben müssen. Dabei sei eine Anpassungsstörung diagnostiziert worden. Diese besonderen Umstände rechtfertigten es, von der üblichen Entschädigungshöhe von Fr. 200.00 abzuweichen (Dossier Verschiedenes C2, ebenda, S. 6).</w:t>
      </w:r>
    </w:p>
    <w:p>
      <w:r>
        <w:rPr>
          <w:b/>
        </w:rPr>
        <w:t>E. 6.2.2</w:t>
      </w:r>
    </w:p>
    <w:p>
      <w:r>
        <w:t>Die Staatsanwaltschaft Zofingen-Kulm warf dem Beschwerdeführer vor, das Verfahren erschwert und unnötig in die Länge gezogen zu haben, weil</w:t>
      </w:r>
    </w:p>
    <w:p>
      <w:r>
        <w:t>- 20 - er aktiv kolludiert und die Strafverfolgungsbehörden dadurch in die Irre ge- führt habe. Die verlangte Genugtuung verweigerte sie deshalb wie bereits die verlangte Entschädigung gestützt auf Art. 430 Abs. 1 lit. a StPO. Wie bereits in E. 4.2.2 hiervor ausgeführt wurde, liegt keine rechtswidrig herbeigeführte Erschwerung bzw. Verlängerung der Strafuntersuchung vor, welche eine Entschädigung und Genugtuung ausschliesst. Überdies hat der Beschwerdeführer die Haft nicht schuldhaft verursacht, woran auch nichts ändert, dass er sich gestützt auf die Verfügung des Zwangsmass- nahmengerichts des Kantons Aargau vom 1. April 2022 rechtmässig in Un- tersuchungshaft befand. Wird die Haft im Nachhinein ungerechtfertigt (nicht rechtswidrig), weil die Person freigesprochen oder das Verfahren gegen sie eingestellt wird, so gelangt Art. 429 Abs. 1 lit. c StPO zur Anwendung (Urteil des Bundesgerichts 6B_1076/2016 vom 12. Januar 2017 E. 3.3 f.). Nach dem Gesagten hat der Beschwerdeführer für die ausgestandene Un- tersuchungshaft grundsätzlich Anspruch auf Genugtuung. Es ist jedoch nicht Aufgabe des Obergerichts, als Beschwerdeinstanz erstmals über den Genugtuungsanspruch zu befinden. Um den Instanzenzug zu wahren, ist die Sache hinsichtlich der Festsetzung des Genugtuungsanspruchs des Beschwerdeführers an die Staatsanwaltschaft Zofingen-Kulm zurückzuwei- sen.</w:t>
      </w:r>
    </w:p>
    <w:p>
      <w:r>
        <w:rPr>
          <w:b/>
        </w:rPr>
        <w:t>E. 7</w:t>
      </w:r>
    </w:p>
    <w:p>
      <w:r>
        <w:t>Damit ist Dispositiv-Ziffer 5 der Einstellungsverfügung der Staatsanwalt- schaft Zofingen-Kulm vom 30. März 2023 hinsichtlich der verweigerten Ent- schädigung (Art. 429 Abs. 1 lit. b StPO) zu bestätigen, hingegen die Ge- nugtuung (Art. 429 Abs. 1 lit. c StPO) betreffend aufzuheben.</w:t>
      </w:r>
    </w:p>
    <w:p>
      <w:r>
        <w:rPr>
          <w:b/>
        </w:rPr>
        <w:t>E. 8.1</w:t>
      </w:r>
    </w:p>
    <w:p>
      <w:r>
        <w:t>Gemäss Art. 428 Abs. 1 StPO tragen die Parteien die Kosten des Rechts- mittelverfahrens nach Massgabe ihres Obsiegens oder Unterliegens. Der Beschwerdeführer beantragte einerseits die Ausrichtung einer Ent- schädigung wegen wirtschaftlicher Einbussen von Fr. 139'125.45 zzgl. 5 % Zins seit dem 29. April 2022 und anderseits einer Genugtuung von Fr. 8'000.00 zzgl. 5 % Zins seit dem 29. März 2022, insgesamt somit Fr. 147'125.45 zzgl. 5 %. Selbst wenn ihm die verlangte Genugtuung voll- umfänglich zugesprochen werden sollte, wovon allerdings nicht auszuge- hen ist, da der vom Beschwerdeführer verlangte Tagesansatz von Fr. 250.00 mit Blick auf die bundesgerichtliche Rechtsprechung (BGE 146 IV 231 und Urteil des Bundesgerichts 6B_531/2019 vom 20. Juni 2019 E. 1.2.2 m.w.H.) zu hoch erscheint, läge ein Obsiegen von lediglich rund 5.5 % vor.</w:t>
      </w:r>
    </w:p>
    <w:p>
      <w:r>
        <w:t>- 21 - Damit obsiegt der Beschwerdeführer einzig in Bezug auf die ersatzlos auf- zuhebende Dispositiv-Ziffer 7 der Einstellungsverfügung. Ausgangsge- mäss sind ihm deshalb 9/10 der Kosten des Beschwerdeverfahrens aufzu- erlegen (Art. 428 Abs. 1 StPO).</w:t>
      </w:r>
    </w:p>
    <w:p>
      <w:r>
        <w:rPr>
          <w:b/>
        </w:rPr>
        <w:t>E. 8.2.1</w:t>
      </w:r>
    </w:p>
    <w:p>
      <w:r>
        <w:t>Hinsichtlich der Entschädigung des amtlichen Verteidigers des Beschwer- deführers ergibt sich Folgendes: Aus den vorstehenden Ausführungen ergibt sich, dass die Beschwerde vom 24. April 2023 mit Blick auf die verlangte Entschädigungssumme als weit überwiegend aussichtslos zu beurteilen ist, weil dem Beschwerdefüh- rer zu deren Geltendmachung im Umfang von Fr. 137'707.95 bereits die Legitimation fehlte, womit es noch um einen (vernachlässigbaren) Betrag von Fr. 1'417.50 ging, dessen Forderung nach dem Ausgeführten in der Sache zudem ebenfalls aussichtslos war. Zufolge offensichtlicher Unbe- gründetheit bzw. Aussichtslosigkeit der Beschwerde in diesem Punkt, ist dem amtlichen Verteidiger hierfür keine Entschädigung zuzusprechen, nachdem im Rahmen der amtlichen Verteidigung einzig notwendige Pro- zesshandlungen zu entschädigen sind. Bezüglich der ersatzlos aufzuhe- benden Dispositiv-Ziffer 7 der Einstellungsverfügung, deren Unrichtigkeit offensichtlich und entsprechend einfach zu rügen war, ist der amtliche Ver- teidiger mit pauschal Fr. 200.00 zu entschädigen.</w:t>
      </w:r>
    </w:p>
    <w:p>
      <w:r>
        <w:rPr>
          <w:b/>
        </w:rPr>
        <w:t>E. 8.2.2</w:t>
      </w:r>
    </w:p>
    <w:p>
      <w:r>
        <w:t>Hinsichtlich der verlangten Genugtuung ist die Sache an die Staatsanwalt- schaft Zofingen-Kulm zur Festsetzung derselben zurückzuweisen, womit sie im nachfolgenden Entscheid auch über die Entschädigung des amtli- chen Verteidigers für den entsprechenden Aufwand im Beschwerdeverfah- ren zu befinden haben wird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