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SBK.2023.132 vom 5. Juli 2023</w:t>
      </w:r>
    </w:p>
    <w:p>
      <w:r>
        <w:t>Ag Strafgericht, 2023-07-05, DE</w:t>
      </w:r>
    </w:p>
    <w:p>
      <w:r>
        <w:rPr>
          <w:b/>
        </w:rPr>
        <w:t xml:space="preserve">Quelle: </w:t>
      </w:r>
      <w:r>
        <w:t>https://mcp.opencaselaw.ch/entscheid/ag_strafgericht_SBK.2023.132</w:t>
      </w:r>
    </w:p>
    <w:p>
      <w:r>
        <w:t>FR: AG_STRAFGERICHT SBK.2023.132 du 5 juillet 2023</w:t>
      </w:r>
    </w:p>
    <w:p>
      <w:r>
        <w:t>IT: AG_STRAFGERICHT SBK.2023.132 del 5 luglio 2023</w:t>
      </w:r>
    </w:p>
    <w:p>
      <w:pPr>
        <w:pStyle w:val="Heading2"/>
      </w:pPr>
      <w:r>
        <w:t>Erwägungen</w:t>
      </w:r>
    </w:p>
    <w:p>
      <w:r>
        <w:rPr>
          <w:b/>
        </w:rPr>
        <w:t>E. 1</w:t>
      </w:r>
    </w:p>
    <w:p>
      <w:r>
        <w:t>Nichtanhandnahmeverfügungen der Staatsanwaltschaft sind gemäss Art. 310 Abs. 2 i.V.m. Art. 322 Abs. 2 und Art. 393 Abs. 1 lit. a StPO mit</w:t>
      </w:r>
    </w:p>
    <w:p>
      <w:r>
        <w:t>- 4 - Beschwerde anfechtbar. Nachdem vorliegend keine Beschwerdeaus- schlussgründe i.S.v. Art. 394 StPO bestehen, ist die Beschwerde zulässig. Soweit der Beschwerdeführer die Entlassung der Beschuldigten aus ihrem Amt beantragt, ist darauf mangels sachlicher Zuständigkeit nicht einzutre- ten. Im Übrigen geben die Eintretensvoraussetzungen zu keinen Bemerkungen Anlass und sind erfüllt; auf die frist- und formgerecht eingereichte Be- schwerde (vgl. Art. 396 Abs. 1 i.V.m. Art. 385 Abs. 1 StPO) ist einzutreten.</w:t>
      </w:r>
    </w:p>
    <w:p>
      <w:r>
        <w:rPr>
          <w:b/>
        </w:rPr>
        <w:t>E. 2.1</w:t>
      </w:r>
    </w:p>
    <w:p>
      <w:r>
        <w:t>Die Staatsanwaltschaft verfügt die Nichtanhandnahme, sobald aufgrund der Strafanzeige oder des Polizeirapports feststeht, dass die fraglichen Straftatbestände oder die Prozessvoraussetzungen eindeutig nicht erfüllt sind (Art. 310 Abs. 1 lit. a StPO).</w:t>
      </w:r>
    </w:p>
    <w:p>
      <w:r>
        <w:rPr>
          <w:b/>
        </w:rPr>
        <w:t>E. 2.2</w:t>
      </w:r>
    </w:p>
    <w:p>
      <w:r>
        <w:t>Der Gesuchsteller warf der Beschuldigten mit seiner Strafanzeige im We- sentlichen vor, im Rahmen von Gerichtsverfahren gelogen, seinem Sohn durch eine unsachgemässe Befragung geschadet, entscheidmassgebliche Umstände ignoriert und damit seinen Sohn gefährdet und dessen Rechte verletzt zu haben.</w:t>
      </w:r>
    </w:p>
    <w:p>
      <w:r>
        <w:rPr>
          <w:b/>
        </w:rPr>
        <w:t>E. 2.3</w:t>
      </w:r>
    </w:p>
    <w:p>
      <w:r>
        <w:t>Mit der angefochtenen Nichtanhandnahmeverfügung führte die Ober- staatsanwaltschaft des Kantons Aargau aus, der blosse Umstand, dass der Beschwerdeführer mit einem Entscheid der zuständigen Richterin nicht ein- verstanden sei, begründe grundsätzlich keinen ausreichenden Anfangsver- dacht auf ein strafrechtlich relevantes Fehlverhalten, da für die Korrektur von Entscheiden der dafür vorgesehene gesetzliche Rechtsmittelweg zur Verfügung stehe. Weitergehende Umstände, die auf ein strafrechtlich rele- vantes Fehlverhalten der Beschuldigten hinwiesen, könnten der Anzeige nicht entnommen werden.</w:t>
      </w:r>
    </w:p>
    <w:p>
      <w:r>
        <w:rPr>
          <w:b/>
        </w:rPr>
        <w:t>E. 2.4</w:t>
      </w:r>
    </w:p>
    <w:p>
      <w:r>
        <w:t>Mit der Beschwerde vom 24. April 2023 erörtert der Beschwerdeführer ei- nerseits, weshalb die Beschuldigte seiner Ansicht nach als Richterin im Scheidungsverfahren einen falschen Entscheid gefällt habe und welche massgeblichen Umstände sie nicht beachtet habe. Im Übrigen bezichtigt er sie der Falschaussage und bezeichnet die nach seiner Ansicht unsachge- mässe Befragung seines Sohnes als Missbrauch.</w:t>
      </w:r>
    </w:p>
    <w:p>
      <w:r>
        <w:t>- 5 -</w:t>
      </w:r>
    </w:p>
    <w:p>
      <w:r>
        <w:rPr>
          <w:b/>
        </w:rPr>
        <w:t>E. 2.5</w:t>
      </w:r>
    </w:p>
    <w:p>
      <w:r>
        <w:t>Art. 306 und 307 StGB stellen Falschaussagen in einem Zivilverfahren nur für Parteien, Zeugen, Sachverständige, Übersetzer und Dolmetscher unter Strafe. Ein vergleichbarer Straftatbestand für Richter existiert nicht. Sodann ist es häufig unvermeidbar, dass familienrechtliche Verfahren in Kombina- tion mit den dahinterstehenden familiären Konflikten für die Beteiligten, ins- besondere für Kinder, stark belastend sind. Der geltend gemachte Um- stand, dass der Sohn des Beschwerdeführers während einer Befragung durch die Beanzeigte weinen musste, weist daher nicht auf die Erfüllung eines Straftatbestands hin. Wie bereits in der Begründung der angefochte- nen Verfügung korrekt ausgeführt wird, macht sich ein Richter oder Richte- rin auch nicht strafbar, wenn ein Entscheid gefällt wird, mit dem eine Partei nicht einverstanden ist. Die betroffene Partei hat die Möglichkeit, mit einem zivilprozessualen Rechtsmittel den allenfalls falschen Entscheid überprü- fen zu lassen. Damit fehlen ernsthafte Anzeichen dafür, dass sich die Be- schuldigte strafbar gemacht haben könnte und die Nichtanhandnahme der Strafanzeige des Beschwerdeführers ist nicht zu beanstanden.</w:t>
      </w:r>
    </w:p>
    <w:p>
      <w:r>
        <w:rPr>
          <w:b/>
        </w:rPr>
        <w:t>E. 3</w:t>
      </w:r>
    </w:p>
    <w:p>
      <w:r>
        <w:t>Bei diesem Verfahrensausgang sind dem Beschwerdeführer die oberge- richtlichen Verfahrenskosten aufzuerlegen (vgl. Art. 428 Abs. 1 StPO). An- spruch auf Entschädigung besteht nicht. Der Beschuldigten sind durch die- ses Beschwerdeverfahren keine entschädigungspflichtigen Aufwendungen entstanden. Die Beschwerdekammer entscheidet: 1. Die Beschwerde wird abgewiesen, soweit darauf eingetreten wird. 2. Die obergerichtlichen Verfahrenskosten, bestehend aus einer Gerichtsge- bühr von Fr. 1'000.00 sowie den Auslagen von Fr. 37.00, insgesamt Fr. 1'037.00, werden dem Beschwerdeführer auferlegt, und mit der von ihm geleisteten Sicherheit von Fr. 1'000.00 verrechnet, so dass er der Oberge- richtskasse noch Fr. 37.00 zu bezahlen hat. Zustellung an: […]</w:t>
      </w:r>
    </w:p>
    <w:p>
      <w:r>
        <w:t>- 6 -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Juli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