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SBK.2022.401 vom 15. Mai 2023</w:t>
      </w:r>
    </w:p>
    <w:p>
      <w:r>
        <w:t>Ag Strafgericht, 2023-05-15, DE</w:t>
      </w:r>
    </w:p>
    <w:p>
      <w:r>
        <w:rPr>
          <w:b/>
        </w:rPr>
        <w:t xml:space="preserve">Quelle: </w:t>
      </w:r>
      <w:r>
        <w:t>https://mcp.opencaselaw.ch/entscheid/ag_strafgericht_SBK.2022.401</w:t>
      </w:r>
    </w:p>
    <w:p>
      <w:r>
        <w:t>FR: AG_STRAFGERICHT SBK.2022.401 du 15 mai 2023</w:t>
      </w:r>
    </w:p>
    <w:p>
      <w:r>
        <w:t>IT: AG_STRAFGERICHT SBK.2022.401 del 15 maggio 2023</w:t>
      </w:r>
    </w:p>
    <w:p>
      <w:pPr>
        <w:pStyle w:val="Heading2"/>
      </w:pPr>
      <w:r>
        <w:t>Erwägungen</w:t>
      </w:r>
    </w:p>
    <w:p>
      <w:r>
        <w:rPr>
          <w:b/>
        </w:rPr>
        <w:t>E. 1</w:t>
      </w:r>
    </w:p>
    <w:p>
      <w:r>
        <w:t>Nichtanhandnahmeverfügungen der Staatsanwaltschaft sind gemäss Art. 310 Abs. 2 i.V.m. Art. 322 Abs. 2 und Art. 393 Abs. 1 lit. a StPO mit Beschwerde anfechtbar. Nachdem keine Beschwerdeausschlussgründe i.S.v. Art. 394 StPO bestehen, ist die vorliegende Beschwerde zulässig. Die übrigen Eintretensvoraussetzungen sind erfüllt und geben zu keinen Bemerkungen Anlass. Auf die frist- und formgerecht eingereichte Be- schwerde (vgl. Art. 396 Abs. 1 i.V.m. Art. 385 Abs. 1 StPO) ist somit einzu- treten.</w:t>
      </w:r>
    </w:p>
    <w:p>
      <w:r>
        <w:rPr>
          <w:b/>
        </w:rPr>
        <w:t>E. 2.1</w:t>
      </w:r>
    </w:p>
    <w:p>
      <w:r>
        <w:t>Die Staatsanwaltschaft Lenzburg-Aarau führte zur Begründung der Nicht- anhandnahme aus, die Schulpflege Q. habe am 5. Oktober 2021 bei der Kindes- und Erwachsenenschutzbehörde Aarau eine Gefährdungsmel- dung erstattet, welche u.a. Bezug genommen habe auf das Standortge- spräch betreffend die schulische Zukunft des Sohnes des Beschwerdefüh- rers, E., welches am 20. September 2021 von 12.10 bis 13.35 Uhr stattge- funden habe und an welchem die Beschuldigte teilgenommen habe. Eine meldende Person handle bei einer Gefährdungsmeldung rechtmässig, wenn sie davon ausgehe, es seien möglicherweise Schutzmassnahmen nötig. Rechtswidrig handle sie unter Umständen dann, wenn sie eine Mel- dung mutwillig und wider besseres Wissen mache. Dies sei vorliegend nicht der Fall. Die Schulpflege Q. habe in der Gefährdungsmeldung vom 5. Ok- tober 2021 wiedergegeben, dass der Beschwerdeführer anlässlich des er- wähnten Standortgesprächs verbal laut geworden sei und auf die anwe- senden Personen derart bedrohlich gewirkt habe, dass diese auch Stunden später noch Angst gehabt hätten. Weiter habe die Schulpflege Q. ausge- führt, der Beschwerdeführer sei mit der Situation überfordert gewesen und es habe keine nennenswerten Gründe gegeben, welche die verbale Eska- lation des Beschwerdeführers hätten rechtfertigen können. Der Beschwer- deführer habe zudem während des Gespräches nach Alkohol gerochen. Dabei handle es sich um subjektive Beobachtungen der Schulleitung Q., welche durch die Beschuldigte anlässlich des Standortgesprächs gemacht und in der Folge an den Schulpflegepräsidenten F. weitergeleitet worden seien. Alkoholgeruch, z.B. aufgrund eines kurze Zeit vor dem Gespräch konsumierten Biers, sei überdies auch dann möglich, wenn ein Stunden später durchgeführter Alkoholatemtest ein Ergebnis von 0,0 Promille lie- fere. Die Gefährdungsmeldung sei weder offensichtlich haltlos, verleumde- risch, denunzierend noch ehrverletzend gewesen. Der Inhalt der Gefähr- dungsmeldung habe sich in erster Linie auf das Erlebte vor Ort gestützt. Die Gefährdungsmeldung sowie deren Inhalt habe weder bezweckt, den Ruf des Beschwerdeführers zu schädigen, noch wider besseres Wissen</w:t>
      </w:r>
    </w:p>
    <w:p>
      <w:r>
        <w:t>- 4 - Tatsachen zu verbreiten. Die Meldung habe einzig dem Kindeswohl gedient und damit verbunden die Kindes- und Erwachsenenschutzbehörde zu be- auftragen, allfällige Kindesschutzmassnahmen zu prüfen bzw. einzuleiten. Gestützt auf diese Ausführungen und aufgrund der Verneinung eines vor- sätzlichen Handelns durch die Beschuldigte sei die Strafbarkeit hinsichtlich des Tatbestands der üblen Nachrede zu verneinen. Infolgedessen erübrige sich auch die Prüfung weiterer Straftatbestände gegen die Ehre.</w:t>
      </w:r>
    </w:p>
    <w:p>
      <w:r>
        <w:rPr>
          <w:b/>
        </w:rPr>
        <w:t>E. 2.2</w:t>
      </w:r>
    </w:p>
    <w:p>
      <w:r>
        <w:t>Der Beschwerdeführer wandte in seiner Beschwerde im Wesentlichen ein, die Staatsanwaltschaft Lenzburg-Aarau verhalte sich widersprüchlich, wenn sie das Strafverfahren gestützt auf Art. 310 Abs. 1 StPO nicht an die Hand nehme, obschon sie bereits Untersuchungshandlungen durchgeführt habe, indem sie ihn mit Schreiben vom 13. April 2022 aufgefordert habe, eine Bestätigung der Luzerner Psychiatrie einzureichen, woraus hervor- gehe, um welche Uhrzeit der Atemalkoholtest am 20. September 2021 ge- nau durchgeführt worden sei. Diesen Nachweis habe er mit Schreiben vom 25. April 2022 erbringen können. Mithin habe die Staatsanwaltschaft Lenz- burg-Aarau eine Untersuchung bereits eröffnet gehabt. Bereits deshalb er- weise sich die Nichtanhandnahmeverfügung als rechtswidrig. Sodann ver- kenne die Staatsanwaltschaft Lenzburg-Aarau, dass es im vorliegenden Strafverfahren nicht um die Frage gehe, ob die Gefährdungsmeldung recht- mässig oder rechtswidrig erfolgt sei. Vielmehr mache sich ein Melder auch dann strafbar, wenn eine Gefährdungsmeldung zwar aus Gründen des Kin- deswohls erfolge, er darin aber einzelne Ausführungen mache, die ehrver- letzend i.S.v. Art. 173 ff. StGB seien. So verhalte es sich auch vorliegend. Die Behauptung, der Beschwerdeführer habe (mehrfach) Gewalt gegen- über der Kindsmutter ausgeübt und es sei unklar, wann die Situation das nächste Mal eskaliere, sei ehrverletzend i.S.v. Art. 173 ff. StGB. Ihm werde ein individual- und sozialethisch verpöntes Verhalten vorgeworfen. Die Be- hauptung sei überdies unwahr. Auch die Behauptung, der Beschwerdefüh- rer habe an einem Schulgespräch (zur Mittagszeit) derart nach Alkohol ge- rochen, dass man dies trotz Hygienemaske gerochen habe, sei ehrverlet- zend i.S.v. Art. 173 ff. StGB, zumal die Beschuldigte gar die Mutmassung in den Raum gestellt habe, dass die Alkoholfahne vom Vorabend stamme. Auch diese Behauptung sei zudem unwahr. Der Beschwerdeführer habe sich in der Zeit vom 18. bis 25. September 2021 in der Luzerner Psychiatrie zur Behandlung mit striktem Alkoholverbot befunden. Die Alkoholatemtests hätten an sämtlichen Tagen 0,0 Promille ausgewiesen, so auch am 20. September 2021, als dieser Test nach seiner Rückkehr vom Schulge- spräch durchgeführt worden sei. Damit sei urkundlich bewiesen, dass der Beschwerdeführer vor diesem Schulgespräch keinen Alkohol getrunken und dementsprechend nicht nach Alkohol gerochen habe. Der objektive Tatbestand der üblen Nachrede sei damit klarerweise erfüllt. Die Beschul- digte sei mit Wissen und Willen mit den als ehrverletzend eingeklagten Äusserungen an F. gelangt, der die Gefährdungsmeldung dann verfasst</w:t>
      </w:r>
    </w:p>
    <w:p>
      <w:r>
        <w:t>- 5 - und dadurch die ehrverletzenden Äusserungen weiterverbreitet habe. Die Beschuldigte habe gewusst oder mindestens in Kauf genommen, dass die erwähnten Aussagen betreffend Gewalt und Alkohol im Gesamtzusam- menhang der Gefährdungsmeldung mindestens möglicherweise ehrenrüh- rig und damit geeignet seien, den Ruf des Beschwerdeführers zu schädi- gen. Für die Erfüllung des subjektiven Tatbestands reiche es aus, wenn einzelne in der Gefährdungsmeldung enthaltene Aussagen ehrverletzend seien und die Beschuldigte sich der Ehrenrührigkeit dieser Aussagen be- wusst gewesen sei. Auch der subjektive Tatbestand der üblen Nachrede sei damit erfüllt. Damit könne offensichtlich nicht gesagt werden, dass der Straftatbestand der üblen Nachrede mit Sicherheit nicht erfüllt sei, was aber gerade die Voraussetzung für eine Nichtanhandnahme des Strafverfahrens gestützt auf Art. 310 Abs. 1 lit. a StPO wäre.</w:t>
      </w:r>
    </w:p>
    <w:p>
      <w:r>
        <w:rPr>
          <w:b/>
        </w:rPr>
        <w:t>E. 2.3</w:t>
      </w:r>
    </w:p>
    <w:p>
      <w:r>
        <w:t>Die Staatsanwaltschaft Lenzburg-Aarau hielt dem in ihrer Beschwerdeant- wort entgegen, sie dürfe nach herrschender Lehre und Rechtsprechung einfache Erhebungen tätigen, bevor sie entscheide, ob sie eine Strafunter- suchung eröffne oder eine Nichtanhandnahmeverfügung erlasse. Vorlie- gend habe sie eine Auskunft eingeholt und dabei rechtmässig gehandelt. Sie habe auch nach dieser Auskunft die Nichtanhandnahme der Strafun- tersuchung verfügen dürfen. Weiter seien die Schulbehörden von Gesetzes wegen verpflichtet, der Kindesschutzbehörde eine Meldung zu erstatten, wenn konkrete Hinweise dafür bestünden, dass die körperliche, psychische oder sexuelle Integrität eines Kindes gefährdet sei und sie der Gefährdung nicht im Rahmen ihrer Tätigkeit Abhilfe schaffen könnten (Art. 314d ZGB). Dass Gefährdungsmeldungen potenziell ehrverletzende Ausführungen ent- hielten, lasse sich in der Regel nicht vermeiden und sei vom Gesetzgeber zum Schutz von Kindern nicht nur toleriert, sondern beabsichtigt. Da die Gefährdungsmeldung eine gesetzlich erlaubte Handlung darstelle (Art. 14 StGB), könne die Melderin oder der Melder strafrechtlich nicht belangt wer- den. Gefährdungsmeldungen an die Kindes- und Erwachsenenschutzbe- hörden seien unter dem Titel der Ehrverletzungsdelikte (Art. 173 ff. StGB) konsequenterweise schlicht nicht von strafrechtlicher Relevanz. Anders zu entscheiden würde bedeuten, Melderinnen und Melder inskünftig einem Strafbarkeitsrisiko auszusetzen, was in der Praxis mit an Sicherheit gren- zender Wahrscheinlichkeit dazu führen würde, dass Gefährdungsmeldun- gen unterblieben, wo sie angezeigt wären. Eine derartige Entwicklung wäre weder sachgerecht noch mit der Rechtslage zu vereinbaren.</w:t>
      </w:r>
    </w:p>
    <w:p>
      <w:r>
        <w:rPr>
          <w:b/>
        </w:rPr>
        <w:t>E. 2.4</w:t>
      </w:r>
    </w:p>
    <w:p>
      <w:r>
        <w:t>Der Beschwerdeführer entgegnete in der Stellungnahme vom 13. Februar 2023, die Meldepflicht gemäss Art. 314d ZGB stelle keinen Freibrief für ehr- verletzende Äusserungen dar. In analoger Anwendung der Rechtspre- chung zur prozessualen Darlegungspflicht von Parteien und ihren Anwälten</w:t>
      </w:r>
    </w:p>
    <w:p>
      <w:r>
        <w:t>- 6 - könne sich ein Melder bei ehrenrührigen Ausführungen in einer Gefähr- dungsmeldung nur dann auf seine Meldepflicht und damit auf Art. 14 StGB berufen, wenn seine Ausführungen sachbezogen seien, nicht über das Not- wendige hinausgingen, nicht wider besseres Wissen erfolgten und blosse Vermutungen als solche bezeichnet würden. Nur innerhalb dieser Grenzen seien die Ausführungen in einer Gefährdungsmeldung durch Art. 314d ZGB i.V.m. Art. 14 StGB gerechtfertigt. Schliesslich sollten auch gemäss dem Merkblatt der KOKES vom 25. Januar 2019 betreffend Melderechte und Meldepflichten an die KESB tatsächliche Wahrnehmungen und Beobach- tungen gemeldet werden und nicht Mutmassungen oder Diagnosen. In der Gefährdungsmeldung vom 5. Oktober 2021 werde die angebliche "Gewalt zwischen der Mutter und dem Vater" jedoch als eigene Beobachtung aus- gewiesen und nicht als blosse Vermutung bezeichnet. Die in der Gefähr- dungsmeldung enthaltene Aussage, dass die Schulleitung an einem Standortgespräch, an welchem das Kind E. nicht selber anwesend gewe- sen sei, "den (noch vom Vorabend vorhandenen?) Alkohol trotz ihrer Hy- gienemaske" gerochen habe, sei weder sachbezogen noch notwendig. Ein Zusammenhang mit einer Kindeswohlgefährdung sei nicht ersichtlich. Aus- serdem sei diese Aussage wider besseres Wissen erfolgt. Es sei urkundlich bewiesen, dass der Beschwerdeführer vor diesem Standortgespräch kei- nen Alkohol getrunken habe und dementsprechend nicht nach Alkohol ge- rochen haben könne.</w:t>
      </w:r>
    </w:p>
    <w:p>
      <w:r>
        <w:rPr>
          <w:b/>
        </w:rPr>
        <w:t>E. 3.1</w:t>
      </w:r>
    </w:p>
    <w:p>
      <w:r>
        <w:t>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 sche Möglichkeit hinaus. Ein blosser Anfangsverdacht, d.h. eine geringe Wahrscheinlichkeit einer Verurteilung aufgrund vager tatsächlicher An- haltspunkte (z.B. ungenaue Schilderungen eines Anzeigeerstatters), ge- nügt nicht (NATHAN LANDSHUT/THOMAS BOSSHARD, in: Kommentar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den Staatsanwalt</w:t>
      </w:r>
    </w:p>
    <w:p>
      <w:r>
        <w:t>- 7 - folglich so präsentieren, dass gar nie ein Verdacht hätte angenommen wer- 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 Anders als in Art. 319 StPO, wo die Gründe für die Einstellung des Verfah- rens aufgelistet sind, nennt Art. 310 StPO Rechtfertigungsgründe nicht. Al- lerdings besteht auch bei einem tatbestandsmässigen Verhalten, das – etwa aufgrund einer Amtspflicht – offenkundig erlaubt oder gar geboten ist, kein Anlass, eine Untersuchung zu eröffnen. Eine Nichtanhandnahme nach Art. 310 Abs. 1 lit. a StPO darf deshalb auch dann erfolgen, wenn zwar ein Straftatbestand erfüllt ist, aber offenkundig ein Rechtfertigungs- grund besteht (Urteil des Bundesgerichts 1B_158/2012 vom 15. Oktober 2012 E. 2.6; LANDSHUT/BOSSHARD, a.a.O., N. 5a zu Art. 310 StPO).</w:t>
      </w:r>
    </w:p>
    <w:p>
      <w:r>
        <w:rPr>
          <w:b/>
        </w:rPr>
        <w:t>E. 3.2.1</w:t>
      </w:r>
    </w:p>
    <w:p>
      <w:r>
        <w:t>Der Beschwerdeführer rügt vorab, die Staatsanwaltschaft Lenzburg-Aarau habe bereits Untersuchungshandlungen durchgeführt, indem sie ihn mit Schreiben vom 13. April 2022 aufgefordert habe, eine Bestätigung der Lu- zerner Psychiatrie einzureichen, aus welcher hervorgehe, um welche Uhr- zeit der Atemalkoholtest am 20. September 2021 genau durchgeführt wor- den sei. Damit habe sie bereits eine Untersuchung eröffnet, weshalb sich die Nichtanhandnahmeverfügung als rechtswidrig erweise.</w:t>
      </w:r>
    </w:p>
    <w:p>
      <w:r>
        <w:rPr>
          <w:b/>
        </w:rPr>
        <w:t>E. 3.2.2</w:t>
      </w:r>
    </w:p>
    <w:p>
      <w:r>
        <w:t>Nach Art. 309 Abs. 2 StPO kann die Staatsanwaltschaft polizeiliche Be- richte und Strafanzeigen, aus denen der Tatverdacht nicht deutlich hervor- geht, der Polizei zur Durchführung ergänzender Ermittlungen überweisen. Dafür kann sie der Polizei die präzise Anweisung erteilen, Informationen über diejenigen Verfolgungsvoraussetzungen einzuholen, über deren Vor- liegen sie sich noch kein Urteil bilden kann. Limitierte bzw. beschränkte und zielgerichtete Aufträge der Staatsanwaltschaft an die Polizei verstossen nicht gegen Art. 309 Abs. 2 StPO (LANDSHUT/BOSSHARD, a.a.O., N. 39 zu Art. 309 StPO). Nach bundesgerichtlicher Rechtsprechung gilt die Strafun- tersuchung als eröffnet, sobald sich die Staatsanwaltschaft mit dem Straf- fall befasst und selber erste Untersuchungshandlungen vornimmt. Dies trifft</w:t>
      </w:r>
    </w:p>
    <w:p>
      <w:r>
        <w:t>- 8 - jedenfalls dann zu, wenn die Staatsanwaltschaft Zwangsmassnahmen an- ordnet. Der in Art. 309 Abs. 3 StPO erwähnten Eröffnungsverfügung kommt lediglich deklaratorische Wirkung zu (BGE 141 IV 20 E. 1.1.4; Urteil des Bundesgerichts 6B_441/2021 vom 25. August 2022 E. 1.3.1). Ausweislich der Untersuchungsakten hat die Staatsanwaltschaft Lenzburg- Aarau nach Eingang der Strafanzeige des Beschwerdeführers vom 22. De- zember 2021 der Polizei keinen Auftrag zu ergänzenden Ermittlungen er- teilt. Vielmehr ersuchte sie lediglich den Beschwerdeführer mit Schreiben vom 13. April 2022, ihr bis Ende April 2022 eine Bestätigung der Luzerner Psychiatrie einzureichen, aus welcher hervorgeht, um welche Uhrzeit der Atemalkoholtest am 20. September 2021 genau durchgeführt wurde (Un- tersuchungsakten [UA] act. 19). Damit gab sie dem Beschwerdeführer die Möglichkeit, seine Strafanzeige, in der nicht ausgeführt worden war, um welche Uhrzeit der Atemalkoholtest vom 20. September 2021 durchgeführt worden war (vgl. UA act. 1 ff., insbesondere act. 6 f.), zu verbessern, d.h. zu präzisieren und zu ergänzen. Dieses Vorgehen stellte noch keine Unter- suchungshandlung im Sinne der StPO dar und stand dem Erlass einer Nichtanhandnahmeverfügung gemäss Art. 310 Abs. 1 lit. a StPO deshalb nicht entgegen. Die angefochtene Nichtanhandnahmeverfügung ist somit – entgegen der Auffassung des Beschwerdeführers – nicht bereits aus die- sem Grund rechtswidrig.</w:t>
      </w:r>
    </w:p>
    <w:p>
      <w:r>
        <w:rPr>
          <w:b/>
        </w:rPr>
        <w:t>E. 3.3.1</w:t>
      </w:r>
    </w:p>
    <w:p>
      <w:r>
        <w:t>Der üblen Nachrede macht sich gemäss Art. 173 Ziff. 1 StGB schuldig, wer jemanden bei einem andern eines unehrenhaften Verhaltens oder anderer Tatsachen, die geeignet sind, seinen Ruf zu schädigen, beschuldigt oder verdächtigt (Abs. 1), oder wer eine solche Beschuldigung oder Verdächti- gung weiterverbreitet (Abs. 2).</w:t>
      </w:r>
    </w:p>
    <w:p>
      <w:r>
        <w:rPr>
          <w:b/>
        </w:rPr>
        <w:t>E. 3.3.2</w:t>
      </w:r>
    </w:p>
    <w:p>
      <w:r>
        <w:t>Der strafrechtliche Schutz der Ehre durch Art. 173 ff. StGB ist nach ständi- ger bundesgerichtlicher Rechtsprechung beschränkt auf den menschlich- sittlichen Bereich, nämlich auf den Ruf und das Gefühl des Betroffenen, ein ehrbarer Mensch zu sein, d.h. sich so zu benehmen, wie nach allgemeiner Anschauung ein charakterlich anständiger Mensch sich zu verhalten pflegt (statt vieler BGE 117 IV 27 E. 2c; Urteil des Bundesgerichts 6B_531/2018 vom 2. November 2018 E. 3.1 m.w.H.; ANDREAS DONATSCH, Strafrecht III, 11. Aufl. 2018, § 44 Ziff. 1.1, S. 391). Zur Beantwortung der Frage, in welchen Fällen die Ehre in strafrechtlich relevanter Weise verletzt ist, ist auf einen objektiven Massstab abzustellen. Massgebend für die Auslegung der ehrverletzenden Äusserung ist der Sinn, den ein unbefangener durchschnittlicher Adressat einer Aussage nach den gesamten Umständen beilegen muss (statt vieler BGE 137 IV</w:t>
      </w:r>
    </w:p>
    <w:p>
      <w:r>
        <w:t>- 9 - 313 E. 2.1.3; Urteil des Bundesgerichts 6B_230/2018 vom 24. Oktober 2018 E. 1.1.4; DONATSCH, a.a.O., § 44 Ziff. 1.2, S. 394). Ob die Tatsachen- behauptung wahr oder unwahr ist, betrifft nicht die Tatbestandsmässigkeit, sondern die Strafbarkeit i.S.v. Art. 173 Ziff. 2 StGB (Urteil des Bundesge- richts 6B_176/2013 vom 13. Mai 2013 E. 2.2). Subjektiv ist Vorsatz erfor- derlich, d.h. der Täter muss alle objektiven Tatbestandsmerkmale mit Wis- sen und Willen erfüllen, wobei Eventualvorsatz i.S.v. Art. 12 Abs. 2 StGB genügt. Eine besondere Beleidigungsabsicht wird nicht verlangt. Es reicht aus, dass sich der Täter der Ehrenrührigkeit seiner Behauptung bewusst ist und diese mindestens eventualvorsätzlich einem Dritten gegenüber äus- sert. Erweist sich diese als falsch, braucht er also nicht einmal die Möglich- keit ihrer Unwahrheit i.S. eines Eventualvorsatzes in Kauf genommen zu haben (DONATSCH, a.a.O., § 44 Ziff. 3.2 S. 401 f.; FRANZ RIKLIN, in: Basler Kommentar, Strafrecht II, 4. Aufl. 2019, N. 9 ff. zu Art. 173 StGB).</w:t>
      </w:r>
    </w:p>
    <w:p>
      <w:r>
        <w:rPr>
          <w:b/>
        </w:rPr>
        <w:t>E. 3.3.3</w:t>
      </w:r>
    </w:p>
    <w:p>
      <w:r>
        <w:t>In der Gefährdungsmeldung der Schulpflege Q. vom 5. Oktober 2021 an die Kindes- und Erwachsenenschutzbehörde Aarau wurde ausgeführt, der Beschwerdeführer sei anlässlich des Gesprächs vom 20. September 2021 verbal laut geworden und habe auf die meisten der Anwesenden so be- drohlich gewirkt, dass man auch ein paar Stunden später noch Angst ge- habt habe. Trotz mehrmaliger Versuche von verschiedenen Anwesenden, auf den Beschwerdeführer deeskalierend zu wirken, habe er sich nicht be- ruhigen lassen, sondern sich immer mehr in etwas hineingesteigert. Schliesslich habe das Gespräch abgebrochen werden müssen. Zu Beginn der Sitzung habe ihn die Schulleitung auf die an der Schule geltende Mas- kenpflicht hingewiesen, worauf er ihr mit Nachdruck und die Distanz nicht mehr wahrend klargemacht habe, dass sie ihm gar nichts zu sagen habe. Die Schulleitung habe den (noch vom Vorabend vorhandenen?) Alkohol trotz ihrer Hygienemaske gerochen. Die involvierten Schulangehörigen gin- gen davon aus, dass die beiden im Haushalt lebenden Kinder unter der Gewalt zwischen der Mutter und dem Vater leiden würden. Es sei jeweils unklar, wann die Situation ein nächstes Mal eskaliere, was für die Kinder zu bedeuten habe, dass sie psychischen Belastungen wie Angst, Mitleid und Hilflosigkeit ausgesetzt seien. Die Mutter habe der Schulleitung am 27. September 2021 mitgeteilt, dass sie Angst vor ihrem Ex-Partner habe und versuche, eine neue Wohnung für sich und die Kinder zu finden. Da- raufhin habe ihr die Schulleitung geraten, in das Frauenhaus zu gehen (UA act. 11). Der Beschwerdeführer wirft der Beschuldigten vor, sie habe ihn mit der (ge- mäss seiner Auffassung) unwahren Aussage, die beiden Kinder litten unter der Gewalt zwischen der Mutter und dem Vater und es sei jeweils unklar, wann die Situation ein nächstes Mal eskaliere – wobei aufgrund der weite- ren Aussagen in der Gefährdungsmeldung, dass die Mutter Angst vor dem</w:t>
      </w:r>
    </w:p>
    <w:p>
      <w:r>
        <w:t>- 10 - Ex-Partner habe, dass der Beschwerdeführer am Gespräch vom 20. Sep- tember 2021 auf die meisten Anwesenden so bedrohlich gewirkt habe, dass man auch ein paar Stunden später Angst gehabt habe, und dass die Mutter bemüht sei, ihre Kinder zu schützen, klar sei, dass gemäss der Be- schuldigten der Beschwerdeführer derjenige sein solle, der Gewalt ausübe – sowie mit der (seiner Ansicht nach) unwahren Aussage, sie habe bei ihm den (noch vom Vorabend vorhandenen?) Alkohol trotz ihrer Hygienemaske gerochen, gegenüber dem Schulpflegepräsidenten und der Kindes- und Er- wachsenenschutzbehörde Aarau eines unehrenhaften Verhaltens bezich- tigt. Die beanstandeten Aussagen seien deshalb ehrverletzend i.S.v. Art. 173 ff. StGB (UA act. 5 ff.; Beschwerde S. 9 ff.). Bei den vom Beschwerdeführer beanstandeten Äusserungen handelt es sich um subjektive Wahrnehmungen und Schlussfolgerungen der Beschul- digten. Wären diese Äusserungen nach einem objektiven Massstab, d.h. dem Sinn, den ihnen ein unbefangener durchschnittlicher Adressat nach den gesamten Umständen beimisst, als ehrverletzend i.S.v. Art. 173 Ziff. 1 Abs. 1 StGB zu betrachten und hätte die Beschuldigte vorsätzlich i.S.v. Art. 12 Abs. 2 StGB gehandelt, indem sie zumindest ernsthaft mit der Eh- renrührigkeit dieser bewusst getätigten Aussagen hätte rechnen müssen, dürfte der Tatbestand der üblen Nachrede (Art. 173 Ziff. 1 StGB) erfüllt sein. Dies braucht jedoch nicht näher geprüft zu werden. Denn selbst wenn der Tatbestand der üblen Nachrede gemäss Art. 173 Ziff. 1 StGB zu beja- hen wäre, fiele eine Verurteilung der Beschuldigten ausser Betracht, da ge- mäss den Ausführungen in E. 3.4 hienach der Rechtfertigungsgrund von Art. 14 StGB offensichtlich gegeben ist.</w:t>
      </w:r>
    </w:p>
    <w:p>
      <w:r>
        <w:rPr>
          <w:b/>
        </w:rPr>
        <w:t>E. 3.4.1</w:t>
      </w:r>
    </w:p>
    <w:p>
      <w:r>
        <w:t>Als Rechtfertigungsgrund kommt insbesondere Art. 14 StGB in Frage (RIKLIN, a.a.O., N. 55 vor Art. 173 StGB). Nach Art. 14 StGB verhält sich rechtmässig, wer handelt, wie es das Gesetz gebietet oder erlaubt, auch wenn die Tat nach diesem oder einem anderen Gesetz mit Strafe bedroht ist. Art. 14 StGB erfasst insbesondere auch Amtspflichten. Damit gemeint sind öffentlich-rechtliche, hoheitliche Obliegenheiten und Befugnisse, die sich aus einem Gesetz ergeben. Amtspflichten können sich insbesondere aus Vorschriften des materiellen Verwaltungs- und des Zwangsvollstre- ckungsrechts sowie des Zivil- und Strafprozessrechts ergeben (ANDREAS DONATSCH/GUNHILD GODENZI/BRIGITTE TAG, Strafrecht I, 10. Aufl. 2022, § 21 Ziff. 3.2, S. 257 f.). Gemäss Art. 314c Abs. 1 ZGB kann jede Person der Kindesschutzbehörde Meldung erstatten, wenn die körperliche, psychische oder sexuelle Integri- tät eines Kindes gefährdet erscheint. Liegt eine Meldung im Interesse des Kindes, so sind auch Personen meldeberechtigt, die dem Berufsgeheimnis</w:t>
      </w:r>
    </w:p>
    <w:p>
      <w:r>
        <w:t>- 11 - nach dem StGB unterstehen (Art. 314c Abs. 2 ZGB). Insbesondere Fach- personen aus den Bereichen Erziehung und Bildung, die beruflich regel- mässig Kontakt zu Kindern haben, und Personen, die in amtlicher Tätigkeit von einem solchen Fall erfahren, sind – soweit sie nicht dem Berufsgeheim- nis nach dem StGB unterstehen – zur Meldung verpflichtet, wenn konkrete Hinweise dafür bestehen, dass die körperliche, psychische oder sexuelle Integrität eines Kindes gefährdet ist und sie der Gefährdung nicht im Rah- men ihrer Tätigkeit Abhilfe schaffen können (Art. 314d Abs. 1 ZGB). Liegt eine Kindeswohlgefährdung vor, ist gemäss Ziff. 7.4 des Leitfadens zur Zusammenarbeit der Schule und Kindes- und Erwachsenenschutzbe- hörde bei Gefährdung des Kindeswohls (abrufbar unter www.schulen-aar- gau.ch/media/schulen-aargau/unterstuetzung-beratung/lehrperson-schul- leitung/bksvs-leitfaden-gefaehrdung-kindswohl.pdf) das Wohl des Kindes höher zu gewichten als die Persönlichkeitsrechte der Eltern. Daher können im Interesse des Kindes auch Informationen zu Ungunsten der Eltern an die Kindes- und Erwachsenenschutzbehörde weitergegeben werden. Ent- sprechend sind Gefährdungsmeldungen zwar klar und konkret, aber auch möglichst objektiv und sachlich zu verfassen. Sodann sollen sie sich auf das Wesentliche beschränken und nur diejenigen Informationen enthalten, welche sich auf die Gefährdung beziehen. Erstattet eine Person unberechtigterweise oder unter falschen Angaben eine Meldung, können daraus strafrechtliche Konsequenzen erwachsen. Falsche Angaben können zu einer Verurteilung wegen eines Ehrverlet- zungsdelikts (Art. 173 ff. StGB) führen (LUCA MARANTA, in: Basler Kommen- tar, Zivilgesetzbuch I, 7. Aufl. 2022, N. 39 zu Art. 443 ZGB).</w:t>
      </w:r>
    </w:p>
    <w:p>
      <w:r>
        <w:rPr>
          <w:b/>
        </w:rPr>
        <w:t>E. 3.4.2</w:t>
      </w:r>
    </w:p>
    <w:p>
      <w:r>
        <w:t>Die Beschuldigte ist nicht Trägerin des von Art. 321 Ziff. 1 StGB strafrecht- lich geschützten Berufsgeheimnisses und daher aufgrund ihrer Tätigkeit als Schulleiterin gemäss Art. 314d Abs. 1 ZGB zur Meldung an die Kindes- schutzbehörde verpflichtet, da nach ihrer Wahrnehmung konkrete Hin- weise dafür bestanden, dass die psychische Integrität des Kindes E. ge- fährdet war und sie der Gefährdung nicht im Rahmen ihrer Tätigkeit Abhilfe schaffen konnte. Gemäss dem in der Gefährdungsmeldung vom 5. Oktober 2021 geschil- derten Sachverhalt ging die Beschuldigte aufgrund ihrer Wahrnehmungen davon aus und musste auch davon ausgehen, dass eine Gefährdung des Kindeswohls von E. vorlag. Unter den gegebenen Umständen war die Be- schuldigte somit gehalten, ihre Wahrnehmungen der Schulpflege als ihrer damaligen vorgesetzten Stelle sowie mittels einer Gefährdungsmeldung der Kindes- und Erwachsenenschutzbehörde mitzuteilen. Mit ihren Äusse- rungen bezweckte die Beschuldigte die Wahrung des Kindeswohls von E.</w:t>
      </w:r>
    </w:p>
    <w:p>
      <w:r>
        <w:t>- 12 - Da dessen Gefährdung nach ihrer Wahrnehmung mit dem von ihr geschil- derten Verhalten des Beschwerdeführers zusammenhing, konnte sie ihrer Anzeigepflicht nur nachkommen, indem sie Aussagen zum Nachteil des Beschwerdeführers machte. Die Gefährdungsmeldung entspricht damit auch den Vorgaben von Ziff. 7.4 des Leitfadens zur Zusammenarbeit der Schule und Kindes- und Erwachsenenschutzbehörde bei Gefährdung des Kindeswohls. Demzufolge ist der Rechtfertigungsgrund von Art. 14 StGB zu bejahen. Ob tatsächlich ein Sachverhalt vorlag, aufgrund dessen Kin- desschutzmassnahmen anzuordnen sind (Art. 307 ff. ZGB), hatte nach Ein- gang der Gefährdungsmeldung die Kindes- und Erwachsenenschutzbe- hörde zu prüfen (§ 31 ff. EG ZGB).</w:t>
      </w:r>
    </w:p>
    <w:p>
      <w:r>
        <w:rPr>
          <w:b/>
        </w:rPr>
        <w:t>E. 3.5</w:t>
      </w:r>
    </w:p>
    <w:p>
      <w:r>
        <w:t>Aufgrund der obigen Ausführungen ist somit nicht zu beanstanden, dass die Staatsanwaltschaft Lenzburg-Aarau die Strafsache gegen die Beschul- digte mit Verfügung vom 5. Dezember 2022 nicht an die Hand genommen hat. Die vorliegende Beschwerde ist deshalb abzuweisen.</w:t>
      </w:r>
    </w:p>
    <w:p>
      <w:r>
        <w:rPr>
          <w:b/>
        </w:rPr>
        <w:t>E. 4.1</w:t>
      </w:r>
    </w:p>
    <w:p>
      <w:r>
        <w:t>Bei diesem Ausgang sind die Kosten des Beschwerdeverfahrens dem un- terliegenden Beschwerdeführer aufzuerlegen (Art. 428 Abs. 1 StPO) und es ist ihm keine Entschädigung auszurichten.</w:t>
      </w:r>
    </w:p>
    <w:p>
      <w:r>
        <w:rPr>
          <w:b/>
        </w:rPr>
        <w:t>E. 4.2</w:t>
      </w:r>
    </w:p>
    <w:p>
      <w:r>
        <w:t>Der Beschuldigten ist im Beschwerdeverfahren kein Aufwand entstanden, weshalb ihr ebenfalls keine Entschädigung zuzusprechen ist. Die Beschwerdekammer entscheidet: 1. Die Beschwerde wird abgewiesen. 2. Die Kosten des Beschwerdeverfahrens, bestehend aus einer Gerichtsge- bühr von Fr. 800.00 und den Auslagen von Fr. 76.00, zusammen Fr. 876.00, werden dem Beschwerdeführer auferlegt. Zustellung an: […]</w:t>
      </w:r>
    </w:p>
    <w:p>
      <w:r>
        <w:t>- 13 -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15. Mai 2023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