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SBK.2022.397 vom 3. Februar 2023</w:t>
      </w:r>
    </w:p>
    <w:p>
      <w:r>
        <w:t>Ag Strafgericht, 2023-02-03, DE</w:t>
      </w:r>
    </w:p>
    <w:p>
      <w:r>
        <w:rPr>
          <w:b/>
        </w:rPr>
        <w:t xml:space="preserve">Quelle: </w:t>
      </w:r>
      <w:r>
        <w:t>https://mcp.opencaselaw.ch/entscheid/ag_strafgericht_SBK.2022.397</w:t>
      </w:r>
    </w:p>
    <w:p>
      <w:r>
        <w:t>FR: AG_STRAFGERICHT SBK.2022.397 du 3 février 2023</w:t>
      </w:r>
    </w:p>
    <w:p>
      <w:r>
        <w:t>IT: AG_STRAFGERICHT SBK.2022.397 del 3 febbraio 2023</w:t>
      </w:r>
    </w:p>
    <w:p>
      <w:pPr>
        <w:pStyle w:val="Heading2"/>
      </w:pPr>
      <w:r>
        <w:t>Erwägungen</w:t>
      </w:r>
    </w:p>
    <w:p>
      <w:r>
        <w:rPr>
          <w:b/>
        </w:rPr>
        <w:t>E. 1.1</w:t>
      </w:r>
    </w:p>
    <w:p>
      <w:r>
        <w:t>Vom Gesetz nicht ausdrücklich genannt, aber Voraussetzung jeder Be- schwerde ist der Beschwerdewille (GUIDON, Die Beschwerde gemäss Schweizerischer Strafprozessordnung, 2011, N. 387). Als Beschwerde muss grundsätzlich jede fristgerecht gegen einen beschwerdefähigen Ent- scheid gerichtete Erklärung genügen, die mit hinlänglicher Deutlichkeit er- kennen lässt, dass der Erklärende eine Überprüfung des Entscheids wünscht und nicht nur seinen Unwillen über diesen zum Ausdruck bringt (BGE 93 I 209 E. 1). Massgebend ist dabei nicht, welches der tatsächliche innere Wille des Erklärenden ist, sondern wie die Behörden die Erklärung nach Treu und Glauben verstehen mussten und durften (Urteil des Bun- desgerichts 1B_220/2013 vom 22. August 2013 E. 2.2). Es ist daher nicht erforderlich, dass die Erklärung ausdrücklich formuliert wird; der Beschwer- dewille kann auch aus Sinn und Gehalt der Beschwerdeschrift hervorgehen (GUIDON, a.a.O., N. 387). Selbst bei Laien, an deren Eingaben keine allzu hohen Anforderungen gestellt werden dürfen, ist eine Eingabe aber nur dann als Beschwerde entgegenzunehmen, wenn aus ihr die deutliche Ab- sicht hervorgeht, dass die Aufhebung oder Änderung eines Entscheids oder einer Verfügung verlangt wird. Diese minimale Anforderung an eine Rechtsschrift liegt nicht nur im Interesse der Rechtssicherheit, sondern auch im Interesse der Rechtsuchenden selber, die nicht schon mit jeder Zuschrift an ein Gericht, die eine Kritik an einem Entscheid enthält, Kosten riskieren sollen (BGE 117 Ia 126 E. 5d). Erklärungen sind indessen, vorab wenn sie von juristischen Laien stammen, "pro appellante" auszulegen. Bei unklaren, mehrdeutigen Äusserungen hat die Beschwerdeinstanz die be- troffene Person überdies als Ausfluss ihrer Fürsorgepflicht gemäss Art. 107 Abs. 2 StPO zu klaren Willensäusserungen zu veranlassen (GUIDON, a.a.O., N. 387; Urteil des Bundesgerichts 1C_236/2014 vom 4. Dezember 2014 E. 3.5; Obergericht des Kantons Uri OG BI 21 12 vom 7. September 2021 in Rechenschaftsbericht über die Rechtspflege des Kantons Uri 2020/21, Nr. 11, S. 76).</w:t>
      </w:r>
    </w:p>
    <w:p>
      <w:r>
        <w:rPr>
          <w:b/>
        </w:rPr>
        <w:t>E. 1.2</w:t>
      </w:r>
    </w:p>
    <w:p>
      <w:r>
        <w:t>Der Eingabe des Einlegers an die Beschwerdekammer lässt sich keine Kri- tik an der Anordnung der Blut- und Urinprobe sowie der ärztlichen Untersu- chung entnehmen. Vielmehr machte der Einleger lediglich geltend, dass er der Meinung sei, er sei fahrfähig gewesen. Aufgrund dieser Eingabe war dessen Beschwerdewille folglich mindestens zweifelhaft. Entsprechend fragte die Verfahrensleiterin mit Schreiben vom 23. Januar 2023 beim Ein- leger nach, ob seine Eingabe als Beschwerde entgegengenommen werden soll. Daraufhin teilte der Einleger mit, dass er lediglich eine Stellungnahme habe abgegeben wollen, dies aber am "falschen Ort" getan habe.</w:t>
      </w:r>
    </w:p>
    <w:p>
      <w:r>
        <w:t>- 4 - Bei dieser Sachlage fehlte es dem Einleger am Beschwerdewillen. Auf die Eingabe vom 9. Dezember 2022 ist nicht einzutreten.</w:t>
      </w:r>
    </w:p>
    <w:p>
      <w:r>
        <w:rPr>
          <w:b/>
        </w:rPr>
        <w:t>E. 2</w:t>
      </w:r>
    </w:p>
    <w:p>
      <w:r>
        <w:t>Es werden keine Kosten erhoben.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3. Februar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