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SBK.2022.152 vom 20. Juli 2022</w:t>
      </w:r>
    </w:p>
    <w:p>
      <w:r>
        <w:t>Ag Strafgericht, 2022-07-20, DE</w:t>
      </w:r>
    </w:p>
    <w:p>
      <w:r>
        <w:rPr>
          <w:b/>
        </w:rPr>
        <w:t xml:space="preserve">Quelle: </w:t>
      </w:r>
      <w:r>
        <w:t>https://mcp.opencaselaw.ch/entscheid/ag_strafgericht_SBK.2022.152</w:t>
      </w:r>
    </w:p>
    <w:p>
      <w:r>
        <w:t>FR: AG_STRAFGERICHT SBK.2022.152 du 20 juillet 2022</w:t>
      </w:r>
    </w:p>
    <w:p>
      <w:r>
        <w:t>IT: AG_STRAFGERICHT SBK.2022.152 del 20 luglio 2022</w:t>
      </w:r>
    </w:p>
    <w:p>
      <w:pPr>
        <w:pStyle w:val="Heading2"/>
      </w:pPr>
      <w:r>
        <w:t>Erwägungen</w:t>
      </w:r>
    </w:p>
    <w:p>
      <w:r>
        <w:rPr>
          <w:b/>
        </w:rPr>
        <w:t>E. 1.1</w:t>
      </w:r>
    </w:p>
    <w:p>
      <w:r>
        <w:t>Die Nichtanhandnahmeverfügung der Staatsanwaltschaft Rheinfelden- Laufenburg vom 14. April 2022 wird in teilweiser Gutheissung der Be- schwerde aufgehoben und die Strafsache zum formell korrekten Abschluss im Sinne der Erwägungen an die Staatsanwaltschaft Rheinfelden-Laufen- burg zurückgewiesen.</w:t>
      </w:r>
    </w:p>
    <w:p>
      <w:r>
        <w:rPr>
          <w:b/>
        </w:rPr>
        <w:t>E. 1.2</w:t>
      </w:r>
    </w:p>
    <w:p>
      <w:r>
        <w:t>Soweit der Beschwerdeführer anderes oder mehr beantragt, wird die Be- schwerde abgewiesen, soweit darauf eingetreten wird. 2. Die Kosten des Beschwerdeverfahrens werden auf die Staatskasse ge- nommen.</w:t>
      </w:r>
    </w:p>
    <w:p>
      <w:r>
        <w:rPr>
          <w:b/>
        </w:rPr>
        <w:t>E. 1.3</w:t>
      </w:r>
    </w:p>
    <w:p>
      <w:r>
        <w:t>Der Beschwerdeführer bestritt mit Beschwerde gegen die Nichtanhandnah- meverfügung die örtliche Zuständigkeit der Staatsanwaltschaft Rheinfel- den-Laufenburg und stellte den Antrag, die Staatsanwaltschaft Rheinfel- den-Laufenburg sei nach Aufhebung der Nichtanhandnahmeverfügung an- zuweisen, die Strafsache den örtlich zuständigen Strafverfolgungsbehör- den am Wohnsitz des Beschuldigten (in Q.) zu überweisen (Antrag Ziff 1; Rz 6) oder (eventualiter) die "zuständigkeitsrelevanten Sachverhalts-ele- mente von Amtes wegen vorab zu ermitteln" (Antrag Ziff. 2; Rz 7). Dabei handelt es sich der Sache nach um einen Antrag i.S.v. Art. 41 Abs. 2 StPO gegen den de facto Einigungsentscheid der am stattgefundenen Zustän- digkeitsverfahren beteiligten Staatsanwaltschaften. Dass der Beschwerde- führer diesen Antrag bei der Beschwerdekammer in Strafsachen des Ober- gerichts stellte, ist ohne Weiteres einzig darauf zurückzuführen, dass das durchgeführte Zuständigkeitsverfahren von den beteiligten Staatsanwalt- schaften nur de facto, nicht aber formell korrekt erledigt wurde, was aber nichts daran ändert, dass es nicht an der Beschwerdekammer in Strafsa- chen des Obergerichts ist, hierüber zu entscheiden, weshalb insoweit auf die Beschwerde nicht einzutreten ist.</w:t>
      </w:r>
    </w:p>
    <w:p>
      <w:r>
        <w:t>- 6 -</w:t>
      </w:r>
    </w:p>
    <w:p>
      <w:r>
        <w:rPr>
          <w:b/>
        </w:rPr>
        <w:t>E. 2.1</w:t>
      </w:r>
    </w:p>
    <w:p>
      <w:r>
        <w:t>Steht damit aber noch nicht einmal fest, ob die Staatsanwaltschaft Rhein- felden-Laufenburg zum Erlass der Nichtanhandnahmeverfügung über- haupt zuständig war, kann diese selbstredend auch nicht geschützt werden, sondern ist sie – auch weil sie letztlich einzig aufgrund einer in diesem Beschwerdeverfahren (mangels Zuständigkeit der Beschwerde- kammer in Strafsachen des Obergerichts) nicht heilbaren Gehörsverlet- zung in Bezug auf die Zuständigkeit der Staatsanwaltschaft Rheinfelden- Laufenburg zustande kam – in (teilweiser) Gutheissung der Beschwerde aufzuheben und ist die Strafsache zum formell korrekten Abschluss – was zunächst einen formell korrekten Abschluss des stattgefundenen Zustän- digkeitsverfahrens voraussetzt – an die Staatsanwaltschaft Rheinfelden- Laufenburg zurückzuweisen.</w:t>
      </w:r>
    </w:p>
    <w:p>
      <w:r>
        <w:rPr>
          <w:b/>
        </w:rPr>
        <w:t>E. 2.2</w:t>
      </w:r>
    </w:p>
    <w:p>
      <w:r>
        <w:t>Für weitere Anordnungen besteht keine begründete Veranlassung, wes- halb die Beschwerde, soweit solche beantragt wurden, abzuweisen ist, so- weit darauf einzutreten ist.</w:t>
      </w:r>
    </w:p>
    <w:p>
      <w:r>
        <w:rPr>
          <w:b/>
        </w:rPr>
        <w:t>E. 3</w:t>
      </w:r>
    </w:p>
    <w:p>
      <w:r>
        <w:t>Die Obergerichtskasse wird angewiesen, dem Beschwerdeführer als Ent- schädigung für das Beschwerdeverfahren Fr. 2'399.00 auszurichten.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- 8 -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20. Juli 2022 Obergericht des Kantons Aargau Beschwerdekammer in Strafsachen Der Präsident: Der Gerichtsschreiber: Richli Burkhard</w:t>
      </w:r>
    </w:p>
    <w:p>
      <w:r>
        <w:rPr>
          <w:b/>
        </w:rPr>
        <w:t>E. 3.1</w:t>
      </w:r>
    </w:p>
    <w:p>
      <w:r>
        <w:t>Die Kosten des Beschwerdeverfahrens sind ausgangsgemäss auf die Staatskasse zu nehmen (Art. 428 Abs. 4 StPO).</w:t>
      </w:r>
    </w:p>
    <w:p>
      <w:r>
        <w:rPr>
          <w:b/>
        </w:rPr>
        <w:t>E. 3.2</w:t>
      </w:r>
    </w:p>
    <w:p>
      <w:r>
        <w:t>Der Beschwerdeführer machte einen zeitlichen Aufwand von 9.83 Stunden geltend, den er – bei einem Stundenansatz von Fr. 350.00 – mit insgesamt Fr. 3'441.75 in Rechnung stellte. Dieser Entschädigungsanspruch ist, weil es im Anwendungsbereich von Art. 428 Abs. 4 StPO nicht auf das Obsie- gensprinzip ankommt, sondern auf das in Art. 417 StPO statuierte Verur- sacherprinzip (vgl. hierzu THOMAS DOMEISEN, in: Basler Kommentar, Schweizerische Strafprozessordnung, 2. Aufl. 2014, N 25 zu Art. 428 StPO; Urteil des Bundesgerichts 1B_534/2018 vom 4. April 2019 E. 3.4), gegen den Staat gerichtet. Was den geltend gemachten zeitlichen Aufwand anbelangt, lässt sich der eingereichten Kostennote entnehmen, dass für das Verfassen der 11-seiti- gen Beschwerde 7.75 (4.00 + 2.17 + 1.00 + 0.58) Stunden und (im Wesent- lichen) für Kontakte mit der Klientschaft 2.08 (9.83 - 7.75) Stunden aufge- wendet wurden, was – auch in Berücksichtigung des Aktenumfangs – noch angemessen erscheint. Dieser zeitliche Aufwand ist jedoch nicht mit dem geltend gemachten Stundenansatz von Fr. 350.00 zu entschädigen, son- dern gestützt auf § 9 Abs. 2bis Satz 1 AnwT nach dem Regelstundenansatz von Fr. 220.00, womit der Beschwerdeführer – in zusätzlicher Berücksich- tigung einer Auslagenpauschale von 3 % des eigentlichen Honorars sowie</w:t>
      </w:r>
    </w:p>
    <w:p>
      <w:r>
        <w:t>- 7 - der Mehrwertsteuer von 7.7 % (§ 9 Abs. 2bis Satz 2 AnwT) für das Be- schwerdeverfahren mit Fr. 2'399.00 zu entschädigen ist.</w:t>
      </w:r>
    </w:p>
    <w:p>
      <w:r>
        <w:rPr>
          <w:b/>
        </w:rPr>
        <w:t>E. 3.3</w:t>
      </w:r>
    </w:p>
    <w:p>
      <w:r>
        <w:t>Dem Beschuldigten sind keine entschädigungspflichtigen Aufwendungen entstanden.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