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SBK.2022.130 vom 26. August 2022</w:t>
      </w:r>
    </w:p>
    <w:p>
      <w:r>
        <w:t>Ag Strafgericht, 2022-08-26, DE</w:t>
      </w:r>
    </w:p>
    <w:p>
      <w:r>
        <w:rPr>
          <w:b/>
        </w:rPr>
        <w:t xml:space="preserve">Quelle: </w:t>
      </w:r>
      <w:r>
        <w:t>https://mcp.opencaselaw.ch/entscheid/ag_strafgericht_SBK.2022.130</w:t>
      </w:r>
    </w:p>
    <w:p>
      <w:r>
        <w:t>FR: AG_STRAFGERICHT SBK.2022.130 du 26 août 2022</w:t>
      </w:r>
    </w:p>
    <w:p>
      <w:r>
        <w:t>IT: AG_STRAFGERICHT SBK.2022.130 del 26 agosto 2022</w:t>
      </w:r>
    </w:p>
    <w:p>
      <w:pPr>
        <w:pStyle w:val="Heading2"/>
      </w:pPr>
      <w:r>
        <w:t>Erwägungen</w:t>
      </w:r>
    </w:p>
    <w:p>
      <w:r>
        <w:rPr>
          <w:b/>
        </w:rPr>
        <w:t>E. 1.1</w:t>
      </w:r>
    </w:p>
    <w:p>
      <w:r>
        <w:t>Jede Partei, die ein rechtlich geschütztes Interesse an der Aufhebung oder Änderung eines Entscheides hat, kann ein Rechtsmittel ergreifen (Art. 382 Abs. 1 StPO). Bei Beschwerden gegen Beschlagnahmebefehle wird ein rechtlich geschütztes Interesse bejaht, wenn die beschwerdeführende Par- tei sich auf ein Eigentumsrecht oder ein beschränktes dingliches Recht (insbesondere ein Pfandrecht) an den beschlagnahmten Gegenständen berufen kann. Überdies wird die Beschwerdelegitimation auch dem Inhaber von beschlagnahmten Bankguthaben zuerkannt, da dessen persönliches Verfügungsrecht über das Bankkonto wirtschaftlich einem dinglichen Recht an Bargeld gleichkommt. Dem bloss wirtschaftlich Berechtigten kommt demgegenüber keine Beschwerdelegitimation zu. So ist etwa der Aktionär einer Gesellschaft, deren Konten gesperrt wurden, nicht zur Beschwerde berechtigt, da er nur indirekt betroffen ist (Urteile des Bundesgerichts 1B_319/2017 vom 26. Juli 2017 E. 5, 1B_94/2012 vom 2. April 2012 E. 2.1 und 6B_859/2016 vom 26. September 2016 E. 4). Soweit sich die Beschwerde gegen die Beschlagnahme der Fahrzeuge der B. AG richtet, fehlt es dem Beschwerdeführer an der Beschwerdelegitima- tion. Als einziger Aktionär sowie einziger Verwaltungsrat (mit Einzelunter- schrift) der B. AG ist er zwar wirtschaftlich an den Fahrzeugen der B. AG berechtigt. Nach der oben dargestellten bundesgerichtlichen Rechtspre- chung genügt eine solche wirtschaftliche Berechtigung für die Beschwerd- elegitimation jedoch nicht. Auf die Beschwerde ist folglich, soweit die Auf- hebung des Beschlags über die Fahrzeuge verlangt wird, nicht einzutreten.</w:t>
      </w:r>
    </w:p>
    <w:p>
      <w:r>
        <w:rPr>
          <w:b/>
        </w:rPr>
        <w:t>E. 1.2</w:t>
      </w:r>
    </w:p>
    <w:p>
      <w:r>
        <w:t>Mit Bezug auf die übrigen Gegenstände, d.h. die persönlichen Gegen- stände des Beschwerdeführers (unter anderem Kleider), die Hundebox so- wie den Werkzeugkoffer, welche gemäss Beschwerdeführer aus dem Be- schlag zu entlassen seien, führte die Staatsanwaltschaft Zofingen-Kulm in der Beschwerdeantwort aus, dass nichts gegen deren Herausgabe einzu-</w:t>
      </w:r>
    </w:p>
    <w:p>
      <w:r>
        <w:t>- 4 - wenden sei. Diese Gegenstände seien ja auch gar nie beschlagnahmt wor- den. Diesen Ausführungen der Staatsanwaltschaft Zofingen-Kulm ist zuzu- stimmen. Dem Beschwerdeführer mag zwar zugutegehalten werden, dass ihm aufgrund des Beschlagnahmebefehls möglicherweise nicht ganz klar war, ob bloss die Fahrzeuge oder auch die sich darin befindlichen Gegen- stände mit Beschlag belegt wurden. Dies hätte sich durch eine Anfrage bei der Staatsanwaltschaft Zofingen-Kulm aber ohne weiteres klären lassen. Jedenfalls verhält es sich vorliegend so, dass die Staatsanwaltschaft Zofin- gen-Kulm die infrage stehenden Gegenstände nicht beschlagnahmte, wes- halb diese Gegenstände auch nicht aus dem Beschlag entlassen werden können. Folglich ist auf die Beschwerde auch hinsichtlich dieser Gegen- stände nicht einzutreten.</w:t>
      </w:r>
    </w:p>
    <w:p>
      <w:r>
        <w:rPr>
          <w:b/>
        </w:rPr>
        <w:t>E. 2</w:t>
      </w:r>
    </w:p>
    <w:p>
      <w:r>
        <w:t>Die Kosten des Beschwerdeverfahrens, bestehend aus einer Gerichtsge- bühr von Fr. 600.00 und den Auslagen von Fr. 55.00, zusammen Fr. 655.00, werden dem Beschwerdeführer auferlegt. Zustellung an: […]</w:t>
      </w:r>
    </w:p>
    <w:p>
      <w:r>
        <w:t>- 5 -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26. August 2022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