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SBK.2021.346 vom 2. Februar 2022</w:t>
      </w:r>
    </w:p>
    <w:p>
      <w:r>
        <w:t>Ag Strafgericht, 2022-02-02, DE</w:t>
      </w:r>
    </w:p>
    <w:p>
      <w:r>
        <w:rPr>
          <w:b/>
        </w:rPr>
        <w:t xml:space="preserve">Quelle: </w:t>
      </w:r>
      <w:r>
        <w:t>https://mcp.opencaselaw.ch/entscheid/ag_strafgericht_SBK.2021.346</w:t>
      </w:r>
    </w:p>
    <w:p>
      <w:r>
        <w:t>FR: AG_STRAFGERICHT SBK.2021.346 du 2 février 2022</w:t>
      </w:r>
    </w:p>
    <w:p>
      <w:r>
        <w:t>IT: AG_STRAFGERICHT SBK.2021.346 del 2 febbraio 2022</w:t>
      </w:r>
    </w:p>
    <w:p>
      <w:pPr>
        <w:pStyle w:val="Heading2"/>
      </w:pPr>
      <w:r>
        <w:t>Erwägungen</w:t>
      </w:r>
    </w:p>
    <w:p>
      <w:r>
        <w:rPr>
          <w:b/>
        </w:rPr>
        <w:t>E. 1.1</w:t>
      </w:r>
    </w:p>
    <w:p>
      <w:r>
        <w:t>Die Verfügungen und Verfahrenshandlungen der Staatsanwaltschaft sind grundsätzlich mit Beschwerde anfechtbar (Art. 393 Abs. 1 lit. a StPO).</w:t>
      </w:r>
    </w:p>
    <w:p>
      <w:r>
        <w:rPr>
          <w:b/>
        </w:rPr>
        <w:t>E. 1.2</w:t>
      </w:r>
    </w:p>
    <w:p>
      <w:r>
        <w:t>Die Kantonale Staatsanwaltschaft stellte in Ziff. 2 der angefochtenen Ver- fügung fest, dass die im Zusammenhang mit dem Verhalten des Sohns stehenden Aussagen des Beschwerdeführers nicht verwertbar seien (Ziff.</w:t>
      </w:r>
    </w:p>
    <w:p>
      <w:r>
        <w:rPr>
          <w:b/>
        </w:rPr>
        <w:t>E. 1.3</w:t>
      </w:r>
    </w:p>
    <w:p>
      <w:r>
        <w:t>Die Kantonale Staatsanwaltschaft gab in Ziff. 3 der angefochtenen Verfü- gung bekannt, spätestens vor Untersuchungsabschluss zu entscheiden, welche Passagen unkenntlich zu machen seien und ob bzw. welche Ein- vernahmen vollständig zu wiederholen seien. In der Beschwerdeantwort präzisierte sie, dass der angekündigte Entscheid im Falle von zu wiederho- lenden Einvernahmen noch vor deren Durchführung gefällt werde (S. 1). Inwiefern dieses beabsichtigte Vorgehen irgendeinen Nachteil des Be- schwerdeführers begründen könnte, ist nicht ersichtlich. Der Inhalt der Ein- vernahmen ist der Kantonalen Staatsanwaltschaft ohnehin bekannt. Über- dies ist keine Bekanntgabe des Inhalts der Einvernahmen an weitere Par- teien oder Instanzen vor dem Entscheid über die Unkenntlichmachung bzw. der Schwärzung der betreffenden Passagen vorgesehen. Der Einwand des Beschwerdeführers, dass das vorgesehene Vorgehen eine Verwertung der</w:t>
      </w:r>
    </w:p>
    <w:p>
      <w:r>
        <w:t>- 5 - Einvernahmen des Beschuldigten bedeute (Stellungnahme S. 1) bzw. nur mit einer sofortigen Entfernung der Aussagen bzw. Schwärzung der betref- fenden Passagen eine Fernwirkung vermieden werden könne (Be- schwerde S. 5), ist nicht nachvollziehbar. Es ist damit kein rechtlich ge- schütztes Interesse des Beschwerdeführers erkennbar, womit auch in die- sem Punkt nicht auf die Beschwerde einzutreten ist.</w:t>
      </w:r>
    </w:p>
    <w:p>
      <w:r>
        <w:rPr>
          <w:b/>
        </w:rPr>
        <w:t>E. 1.4</w:t>
      </w:r>
    </w:p>
    <w:p>
      <w:r>
        <w:t>Zusammenfassend ist nicht auf die Beschwerde einzutreten.</w:t>
      </w:r>
    </w:p>
    <w:p>
      <w:r>
        <w:rPr>
          <w:b/>
        </w:rPr>
        <w:t>E. 2</w:t>
      </w:r>
    </w:p>
    <w:p>
      <w:r>
        <w:t>Die Kosten des obergerichtlichen Verfahrens, bestehend aus einer Ge- richtsgebühr von Fr. 800.00 und den Auslagen von Fr. 102.00, zusammen Fr. 902.00,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- 6 -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 Februar 2022 Obergericht des Kantons Aargau Beschwerdekammer in Strafsachen Der Präsident: Die Gerichtsschreiberin: Richli Boog Klingler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