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SBE.2025.14 vom 4. August 2025</w:t>
      </w:r>
    </w:p>
    <w:p>
      <w:r>
        <w:t>Ag Strafgericht, 2025-08-04, DE</w:t>
      </w:r>
    </w:p>
    <w:p>
      <w:r>
        <w:rPr>
          <w:b/>
        </w:rPr>
        <w:t xml:space="preserve">Quelle: </w:t>
      </w:r>
      <w:r>
        <w:t>https://mcp.opencaselaw.ch/entscheid/ag_strafgericht_SBE.2025.14</w:t>
      </w:r>
    </w:p>
    <w:p>
      <w:r>
        <w:t>FR: AG_STRAFGERICHT SBE.2025.14 du 4 août 2025</w:t>
      </w:r>
    </w:p>
    <w:p>
      <w:r>
        <w:t>IT: AG_STRAFGERICHT SBE.2025.14 del 4 agosto 2025</w:t>
      </w:r>
    </w:p>
    <w:p>
      <w:pPr>
        <w:pStyle w:val="Heading2"/>
      </w:pPr>
      <w:r>
        <w:t>Erwägungen</w:t>
      </w:r>
    </w:p>
    <w:p>
      <w:r>
        <w:rPr>
          <w:b/>
        </w:rPr>
        <w:t>E. 3</w:t>
      </w:r>
    </w:p>
    <w:p>
      <w:r>
        <w:t>Im Ergebnis ist die Beschwerde abzuweisen. Bei diesem Ausgang wird der Beschwerdeführer kostenpflichtig (Art. 428 Abs. 1 StPO). Ein Anspruch auf Entschädigung besteht nicht. Die Vizepräsidentin entscheidet: 1. Die Beschwerde wird abgewiesen. 2. Die Kosten des Beschwerdeverfahrens, bestehend aus einer Gerichtsge- bühr von Fr. 800.00 und den Auslagen von Fr. 56.00, zusammen Fr. 856.00, werden dem Beschwerdeführer auferlegt. Zustellung an: […]</w:t>
      </w:r>
    </w:p>
    <w:p>
      <w:r>
        <w:t>- 8 -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4. August 2025 Obergericht des Kantons Aargau Beschwerdekammer in Strafsachen Die Vizepräsidentin: Die Gerichtsschreiberin: Schär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