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SBE.2022.37 vom 1. Dezember 2022</w:t>
      </w:r>
    </w:p>
    <w:p>
      <w:r>
        <w:t>Ag Strafgericht, 2022-12-01, DE</w:t>
      </w:r>
    </w:p>
    <w:p>
      <w:r>
        <w:rPr>
          <w:b/>
        </w:rPr>
        <w:t xml:space="preserve">Quelle: </w:t>
      </w:r>
      <w:r>
        <w:t>https://mcp.opencaselaw.ch/entscheid/ag_strafgericht_SBE.2022.37</w:t>
      </w:r>
    </w:p>
    <w:p>
      <w:r>
        <w:t>FR: AG_STRAFGERICHT SBE.2022.37 du 1 décembre 2022</w:t>
      </w:r>
    </w:p>
    <w:p>
      <w:r>
        <w:t>IT: AG_STRAFGERICHT SBE.2022.37 del 1 dicembre 2022</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t>- 4 -</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Nichtan- handnahme beschwert sind. Geschädigte i.S.v. Art. 105 Abs. 1 lit. a StPO werden durch eine Nichtanhandnahme in ihren Rechten nicht unmittelbar betroffen. Sie sind folglich nicht zur Beschwerde legitimiert, wenn sie sich nicht als Privatkläger konstituiert und damit Parteistellung erlangt haben. Vorliegend hat sich der Beschwerdeführer bereits anlässlich der Anzeige- erstattung am 8. August 2022 als Strafkläger konstituiert und ist folglich zur Beschwerde legitimiert.</w:t>
      </w:r>
    </w:p>
    <w:p>
      <w:r>
        <w:rPr>
          <w:b/>
        </w:rPr>
        <w:t>E. 1.3</w:t>
      </w:r>
    </w:p>
    <w:p>
      <w:r>
        <w:t>Die weiteren Eintretensvoraussetzungen sind erfüllt und geben zu keinen Bemerkungen Anlass. Auf die Beschwerde ist einzutreten. 2. Ist die Beschwerdeinstanz ein Kollegialgericht, was im Kanton Aargau ge- mäss § 65 Abs. 2 GOG i.V.m. § 9 f. und Anhang 1 Ziff. 2 Abs. 5 der Ge- schäftsordnung des Obergerichts des Kantons Aargau vom 21. November 2012 (GKA 155.200.3.101) der Fall ist, so beurteilt deren Verfahrensleitung die Beschwerde gemäss Art. 395 lit. a StPO allein, wenn diese ausschliess- lich Übertretungen zum Gegenstand hat. Beim vorliegend einzig in Frage stehenden Straftatbestand des Art. 34 Abs. 1 lit. a DSG droht das Gesetz als Strafe Busse an. Folglich ist ausschliesslich eine Übertretung Verfah- rensgegenstand (Art. 333 Abs. 1 i.V.m. Art. 103 StGB). Das Verfahren fällt demgemäss in die einzelgerichtliche Zuständigkeit der Verfahrensleiterin. 3. Die Staatsanwaltschaft Baden begründete die Nichtanhandnahme damit, dass der Rechtsvertreter der Beschuldigten die Auskunft unter impliziter Berufung auf Art. 9 Abs. 4 DSG gänzlich verweigert habe. Der Tatbestand der Verletzung der Auskunftspflicht gemäss Art. 34 Abs. 1 lit. a DSG sei somit eindeutig nicht erfüllt, sodass das Verfahren gestützt auf Art. 310 Abs. 1 lit. a StPO nicht an die Hand zu nehmen sei.</w:t>
      </w:r>
    </w:p>
    <w:p>
      <w:r>
        <w:rPr>
          <w:b/>
        </w:rPr>
        <w:t>E. 2</w:t>
      </w:r>
    </w:p>
    <w:p>
      <w:r>
        <w:t>Die Kosten gehen zu Lasten des Staates (Art. 423 StPO).</w:t>
      </w:r>
    </w:p>
    <w:p>
      <w:r>
        <w:rPr>
          <w:b/>
        </w:rPr>
        <w:t>E. 3</w:t>
      </w:r>
    </w:p>
    <w:p>
      <w:r>
        <w:t>Es wird keine Parteientschädigung zugesprochen (Art. 430 Abs. 1 StPO).</w:t>
      </w:r>
    </w:p>
    <w:p>
      <w:r>
        <w:t>- 3 -</w:t>
      </w:r>
    </w:p>
    <w:p>
      <w:r>
        <w:rPr>
          <w:b/>
        </w:rPr>
        <w:t>E. 3.1</w:t>
      </w:r>
    </w:p>
    <w:p>
      <w:r>
        <w:t>Mit Eingabe vom 9. September 2022 erhob der Beschwerdeführer gegen die ihm am 31. August 2022 zugestellte Nichtanhandnahmeverfügung vom 25. August 2022 Beschwerde bei der Beschwerdekammer in Strafsachen des Obergerichts des Kantons Aargau.</w:t>
      </w:r>
    </w:p>
    <w:p>
      <w:r>
        <w:rPr>
          <w:b/>
        </w:rPr>
        <w:t>E. 3.2</w:t>
      </w:r>
    </w:p>
    <w:p>
      <w:r>
        <w:t>Mit Eingabe vom 10. Oktober 2022 (Postaufgabe: 11. Oktober 2022) ver- zichtete die Staatsanwaltschaft Baden unter Verweis auf die Nichtanhand- nahmeverfügung auf die Erstattung einer Beschwerdeantwort.</w:t>
      </w:r>
    </w:p>
    <w:p>
      <w:r>
        <w:rPr>
          <w:b/>
        </w:rPr>
        <w:t>E. 3.3</w:t>
      </w:r>
    </w:p>
    <w:p>
      <w:r>
        <w:t>Mit Beschwerdeantwort vom 25. Oktober 2022 beantragte die Beschul- digte: " 1. Die Beschwerde sei vollumfänglich abzuweisen. 2. Unter Kosten- und Entschädigungsfolgen (zzgl. MwSt) zu Lasten des Be- schwerdeführers."</w:t>
      </w:r>
    </w:p>
    <w:p>
      <w:r>
        <w:rPr>
          <w:b/>
        </w:rPr>
        <w:t>E. 3.4</w:t>
      </w:r>
    </w:p>
    <w:p>
      <w:r>
        <w:t>Der Beschwerdeführer replizierte mit Eingabe vom 14. November 2022 Die Vizepräsidentin zieht in Erwägung: 1.</w:t>
      </w:r>
    </w:p>
    <w:p>
      <w:r>
        <w:rPr>
          <w:b/>
        </w:rPr>
        <w:t>E. 4</w:t>
      </w:r>
    </w:p>
    <w:p>
      <w:r>
        <w:t>Der Beschwerdeführer machte in der Beschwerde zusammengefasst gel- tend, die Staatsanwaltschaft Baden habe den Sachverhalt falsch festge- stellt. So behaupte die Beschuldigte im Schreiben vom 9. Mai 2022 zwar, sie verweigere die Auskunft. Tatsächlich erteile sie aber über ganze zwei Seiten Auskunft über die bearbeiteten Daten. Sie erteile explizit Auskunft darüber, dass Personendaten des Beschwerdeführers bearbeitet würden, dass "Personendaten, die unsere Mandantin bearbeitet, […] in engem Zu- sammenhang mit dem Strafverfahren, welches sie bzw. Ihre Gesellschaft</w:t>
      </w:r>
    </w:p>
    <w:p>
      <w:r>
        <w:t>- 5 - mit Strafanzeige vom 4. Juli 2019 […] anhängig gemacht haben" stünden und dass "Namen, Vornamen, Adresse und Korrespondenzen" bearbeitet würden. Die Beschuldigte habe die Auskunft also nicht verweigert, sondern in strafbarer Weise unvollständig Auskunft erteilt. Im Übrigen treffe es nicht zu, dass es hängige Straf- und Zivilverfahren zwi- schen der Beschuldigten und dem Beschwerdeführer gebe. Die Beschul- digte verwechsle den Beschwerdeführer mit dessen Vater. Allerdings sei auch das vom Vater (bzw. dessen Gesellschaft) eingeleitete Strafverfahren bereits rechtskräftig eingestellt. Auch das mehr als drei Jahre zurücklie- gende Schreiben betreffend Lohnforderung weise keinen Konnex zum Aus- kunftsanspruch auf.</w:t>
      </w:r>
    </w:p>
    <w:p>
      <w:r>
        <w:rPr>
          <w:b/>
        </w:rPr>
        <w:t>E. 5</w:t>
      </w:r>
    </w:p>
    <w:p>
      <w:r>
        <w:t>Die Beschuldigte machte in ihrer Beschwerdeantwort zunächst für den Aus- gang des Verfahrens nicht relevante Ausführungen, die zusammengefasst dahin gehen, dass der Beschwerdeführer in der Vergangenheit selbst nicht immer klar zwischen seinen Interessen und denjenigen seines Vaters bzw. dessen Gesellschaft (C. AG) unterschieden habe. Im Weiteren wird geltend gemacht, soweit die Datensammlung für die C. AG geführt worden sei, habe ohnehin diese und nicht die Beschuldigte Auskunft zu erteilen. Eine Auskunftspflicht könne nur insoweit bestehen, als sie für sich Daten bear- beite. Allerdings sei das DSG vorliegend teilweise gar nicht anwendbar und im Übrigen dürfe sie die Auskunft gemäss DSG verweigern. Ob die Verwei- gerung zurecht erfolge, habe nicht die Staatsanwaltschaft Baden, sondern das Zivilgericht zu entscheiden. Wie zahlreiche weitere bei der Beschuldig- ten eingegangene Auskunftsansprüche zeigten, gehe es dem Beschwer- deführer vorliegend darum, ohne Rechtsanspruch in missbräuchlicher Ab- sicht die Beschuldige zu zwingen, die ehemals im Auftrag der C. AG bear- beiteten Personendaten herauszugeben.</w:t>
      </w:r>
    </w:p>
    <w:p>
      <w:r>
        <w:rPr>
          <w:b/>
        </w:rPr>
        <w:t>E. 6</w:t>
      </w:r>
    </w:p>
    <w:p>
      <w:r>
        <w:t>In der Stellungnahme vom 14. November 2022 wird zusammengefasst (und soweit überhaupt den Verfahrensgegenstand betreffend) ausgeführt, der Beschwerdeführer habe mit dem Auskunftsanspruch stets nur seine persönlichen Interessen verfolgt. Dass von anderen Personen identische Auskunftsansprüche geltend gemacht worden seien, hänge damit zusam- men, dass die Vorlage des Eidgenössischen Datenschutz- und Öffentlich- keitsbeauftragten (EDÖB) verwendet worden sei. Auch sei die C. AG spä- testens seit die Beschuldigte dieser den Zugang zu den Daten entzogen habe, nicht mehr Inhaberin der Datensammlung.</w:t>
      </w:r>
    </w:p>
    <w:p>
      <w:r>
        <w:t>- 6 -</w:t>
      </w:r>
    </w:p>
    <w:p>
      <w:r>
        <w:rPr>
          <w:b/>
        </w:rPr>
        <w:t>E. 7.1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Abs. 3 StPO) ist in diesem Verfahrenssta- dium nicht anwendbar (Urteile des Bundesgerichts 6B_662/2017 vom 20. September 2017 E. 3.2; 6B_271/2016 vom 22. August 2016 E. 2.1).</w:t>
      </w:r>
    </w:p>
    <w:p>
      <w:r>
        <w:rPr>
          <w:b/>
        </w:rPr>
        <w:t>E. 7.2.1</w:t>
      </w:r>
    </w:p>
    <w:p>
      <w:r>
        <w:t>Mit Busse werden private Personen auf Antrag bestraft, die ihre Pflichten nach den Artikeln 8-10 und 14 DSG verletzen, indem sie vorsätzlich eine falsche oder eine unvollständige Auskunft erteilen (Art. 34 Abs. 1 lit. a</w:t>
      </w:r>
    </w:p>
    <w:p>
      <w:r>
        <w:t>- 7 - DSG). Täter kann nur derjenige sein, den eine der genannten datenschutz- rechtlichen Pflichten trifft. Es handelt sich um ein echtes Sonderdelikt. Die pflichtige Person ist jedoch nicht nur für eine eigenhändig falsch erteilte Auskunft verantwortlich, sondern auch für die beispielsweise von einem An- gestellten gemäss seiner Weisung falsch erteilte Auskunft. Ist eine juristi- sche Person oder Gesellschaft pflichtig, sind grundsätzlich die natürlichen Personen verantwortlich, die effektiv für das Unternehmen handeln und den Tatbestand schuldhaft erfüllen (Art. 29 StGB; NIGGLI/MAEDER, in: Basler Kommentar, Datenschutzgesetz/Öffentlichkeitsgesetz, 3. Aufl. 2014, N. 18 f. zu Art. 34 DSG). Da es sich bei Art. 34 DSG um eine Übertretung handelt (Art. 333 Abs. 1 i.V.m. Art. 103 StGB), sind die Bestimmungen über die Verantwortlichkeit des Unternehmens (Art. 102 StGB) nicht anwendbar (Art. 333 Abs. 1 i.V.m. Art. 105 Abs. 1 StGB). Demgemäss kommt auch keine subsidiäre strafrechtliche Verantwortlichkeit nach Art. 102 Abs. 1 StGB in Betracht (hierzu: NIGGLI/GFELLER, in: Basler Kommentar, Straf- recht I, 4. Aufl. 2019, N. 57 zu Art. 102 StGB). Wegen Widerhandlungen gegen Art. 34 StGB können folglich einzig natürliche Personen strafrecht- lich belangt werden (NIGGLI/MAEDER, a.a.O., N. 13 ff. zu Vor Art. 34 und 35 DSG).</w:t>
      </w:r>
    </w:p>
    <w:p>
      <w:r>
        <w:rPr>
          <w:b/>
        </w:rPr>
        <w:t>E. 7.2.2</w:t>
      </w:r>
    </w:p>
    <w:p>
      <w:r>
        <w:t>Beschuldigte im vorliegenden Verfahren ist eine Aktiengesellschaft i.S.v. Art. 620 ff. OR, mithin eine juristische Person i.S.v. Art. 52 ff. ZGB mit ei- gener Rechtspersönlichkeit (Art. 643 OR). Wie dargelegt, können sich je- doch nur natürliche Personen nach Art. 34 DSG strafbar machen. Die Nichtanhandnahme ist folglich bereits aus diesem Grund gestützt auf Art. 310 Abs. 1 lit. a StPO (Straftatbestand eindeutig nicht erfüllt) zu bestä- tigen.</w:t>
      </w:r>
    </w:p>
    <w:p>
      <w:r>
        <w:rPr>
          <w:b/>
        </w:rPr>
        <w:t>E. 7.3</w:t>
      </w:r>
    </w:p>
    <w:p>
      <w:r>
        <w:t>Entgegen dem Beschwerdeführer trägt aber auch die Begründung der Staatsanwaltschaft Baden im Ergebnis die Nichtanhandnahme. Anders als der Beschwerdeführer meint, trifft es nicht zu, dass die Beschuldigte im Schreiben lediglich ausführen würde, sie erteile keine Auskunft, tatsächlich aber eine unvollständige Auskunft erteilt hätte. Richtig ist vielmehr, dass die Beschuldigte in ihrem Schreiben lediglich ausführlich begründet, wes- halb sie ihrer Auffassung nach die Auskunft verweigern darf, soweit über- haupt ein Auskunftsanspruch bestehen sollte. Dass die Beschuldigte im Zuge dieser Begründung eingesteht, dass sie Personendaten des Be- schwerdeführers bearbeitet und in diesem Zusammenhang erwähnt, dass es sich zum Beispiel um Namen, Vornamen, Adresse und Korresponden- zen handle sowie um Daten, die in engem Zusammenhang mit der Straf- anzeige vom 4. Juli 2019 stünden, führt nicht dazu, dass die Beschuldigte eine unvollständige Auskunft erteilt hätte. Tatbestandsmässig i.S.v. Art. 34 Abs. 1 lit. a DSG ist nicht jedes unvollständige Erwähnen verschiedener</w:t>
      </w:r>
    </w:p>
    <w:p>
      <w:r>
        <w:t>- 8 - bearbeiteter Personendaten, sondern das vorsätzliche Erteilen einer fal- schen oder unvollständigen Auskunft. Dies zielt darauf ab, die um Auskunft ersuchende Person vor unvollständiger oder falscher Auskunft zu schüt- zen, da für die um Auskunft ersuchende Person in der Regel kaum fest- stellbar ist, ob die erhaltene Auskunft richtig und vollständig war (in diesem Sinne: NIGGLI/MAEDER, a.a.O., N. 26 zu Art. 34 DSG). Vorliegend machte die Beschuldigte im Schreiben klar, dass es sich nicht um eine Auskunft handle. Für den Beschwerdeführer konnte demgemäss nicht zweifelhaft sein, dass er von der Beschuldigten keine vollständige und richtige Aus- kunft erhielt. Er befand sich somit nicht in einer Situation, in welcher er auf den strafrechtlichen Schutz von Art. 34 Abs. 1 lit. a DSG angewiesen ge- wesen wäre.</w:t>
      </w:r>
    </w:p>
    <w:p>
      <w:r>
        <w:rPr>
          <w:b/>
        </w:rPr>
        <w:t>E. 8</w:t>
      </w:r>
    </w:p>
    <w:p>
      <w:r>
        <w:t>Die Beschwerde erweist sich als unbegründet. Sie ist abzuweisen. Aus- gangsgemäss sind die Kosten des Beschwerdeverfahrens dem Beschwer- deführer aufzuerlegen (Art. 428 Abs. 1 StPO). Eine Entschädigung ist ihm bei diesem Verfahrensausgang nicht zuzusprechen.</w:t>
      </w:r>
    </w:p>
    <w:p>
      <w:r>
        <w:rPr>
          <w:b/>
        </w:rPr>
        <w:t>E. 9.1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Gegenstand des vorliegenden Verfahrens war ausschliesslich ein Antrags- delikt. Demgemäss ist die Beschuldigte durch den Beschwerdeführer zu entschädigen.</w:t>
      </w:r>
    </w:p>
    <w:p>
      <w:r>
        <w:rPr>
          <w:b/>
        </w:rPr>
        <w:t>E. 9.2</w:t>
      </w:r>
    </w:p>
    <w:p>
      <w:r>
        <w:t>Gemäss § 9 Abs. 1 AnwT bemisst sich die Entschädigung in Strafsachen nach dem angemessenen Zeitaufwand des Anwalts. Nach § 9 Abs. 2bis AnwT beträgt der Stundenansatz in der Regel Fr. 220.00 und kann in ein- fachen Fällen bis auf Fr. 180.00 reduziert und in schwierigen Fällen bis auf Fr. 250.00 erhöht werden. Auslagen und Mehrwertsteuer werden separat entschädigt.</w:t>
      </w:r>
    </w:p>
    <w:p>
      <w:r>
        <w:t>- 9 - Der Verteidiger der Beschuldigten hat keine Kostennote eingereicht. Die Entschädigung ist von der Beschwerdekammer in Strafsachen daher er- messensweise festzulegen. Diesbezüglich ist zu berücksichtigen, dass der Umfang der Akten gering und der Sachverhalt übersichtlich war. Auch ging es nur um die Beurteilung eines Straftatbestandes. Im Weiteren gilt es zu berücksichtigen, dass die vom Verteidiger verfasste Beschwerdeantwort in- klusive Deckblatt, Anträge, Schlussformel mit Unterschrift sowie Beweis- mittelverzeichnis neun Seiten umfasst, wobei die effektive Begründung der Beschwerde davon etwa vier Seiten ausmacht. Bei dieser Sachlage er- scheint ein Aufwand von vier Stunden angemessen. Ein Abweichen vom Regelstundenansatz ist nicht angezeigt. Entsprechend ergibt sich ein Honorar von Fr. 880.00. Zusätzlich sind pauschale Auslagen (§ 13 Abs. 1 Satz 2 AnwT) von praxisgemäss 3% des Honorars (Fr. 26.40) zu berück- sichtigen, womit sich eine Entschädigung von Fr. 906.40 ergibt. Der bean- tragte Mehrwertsteuerzuschlag kann nicht gewährt werden, da die Beschul- digte mehrwertsteuerpflichtig und damit vorsteuerabzugsberechtigt ist (AGVE 2011 Nr. 101, S. 465 f.). Die Vizepräsidentin entscheidet: 1. Die Beschwerde wird abgewiesen. 2. Die Kosten des Beschwerdeverfahrens, bestehend aus einer Gerichtsge- bühr von Fr. 800.00 und den Auslagen von Fr. 111.00, zusammen Fr. 911.00, werden dem Beschwerdeführer auferlegt. 3. Der Beschwerdeführer wird verpflichtet, der Beschuldigten für das vorlie- gende Beschwerdeverfahren eine Entschädigung in Höhe von Fr. 906.40 (inkl. Auslagen) auszurichten. Zustellung an: […]</w:t>
      </w:r>
    </w:p>
    <w:p>
      <w:r>
        <w:t>- 10 -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 Dezember 2022 Obergericht des Kantons Aargau Beschwerdekammer in Strafsachen Die Vizepräsidentin: Der Gerichtsschreiber: Massari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